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2B5" w:rsidRPr="009E02B5" w:rsidRDefault="009E02B5" w:rsidP="009E02B5">
      <w:pPr>
        <w:widowControl w:val="0"/>
        <w:snapToGrid w:val="0"/>
        <w:spacing w:beforeLines="0" w:before="180" w:line="400" w:lineRule="exact"/>
        <w:ind w:firstLineChars="0" w:firstLine="48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In 2009, the Executive Yuan approved the COA and affiliated agencies budget to employ a total of 8,329 workers, which include 4,638 regular employees, 161 new hires, 224 contract employees, 9 security personnel, 2,706 technicians, 224 drivers, and 367 custodial workers. (The Council of Agriculture itself employed 332 regular employees, 15 new hires, 10 contract employees, 9 security personnel, 14 technicians, 30 drivers, and 16 custodial workers in 2009 for a total of 426 employees) </w:t>
      </w:r>
    </w:p>
    <w:p w:rsidR="009E02B5" w:rsidRDefault="009E02B5" w:rsidP="009E02B5">
      <w:pPr>
        <w:widowControl w:val="0"/>
        <w:spacing w:beforeLines="0" w:before="0" w:line="400" w:lineRule="exact"/>
        <w:ind w:firstLineChars="0"/>
        <w:jc w:val="both"/>
        <w:rPr>
          <w:rFonts w:ascii="Arial" w:eastAsia="新細明體" w:hAnsi="Arial" w:cs="Arial" w:hint="eastAsia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firstLineChars="0"/>
        <w:jc w:val="both"/>
        <w:rPr>
          <w:rFonts w:ascii="Arial" w:eastAsia="新細明體" w:hAnsi="Arial" w:cs="Arial"/>
          <w:b/>
          <w:color w:val="000000"/>
          <w:szCs w:val="24"/>
        </w:rPr>
      </w:pPr>
      <w:bookmarkStart w:id="0" w:name="_GoBack"/>
      <w:r w:rsidRPr="009E02B5">
        <w:rPr>
          <w:rFonts w:ascii="Arial" w:eastAsia="新細明體" w:hAnsi="Arial" w:cs="Arial"/>
          <w:b/>
          <w:color w:val="000000"/>
          <w:szCs w:val="24"/>
        </w:rPr>
        <w:t>Appendix</w:t>
      </w:r>
      <w:bookmarkEnd w:id="0"/>
      <w:r w:rsidRPr="009E02B5">
        <w:rPr>
          <w:rFonts w:ascii="Arial" w:eastAsia="新細明體" w:hAnsi="Arial" w:cs="Arial"/>
          <w:b/>
          <w:color w:val="000000"/>
          <w:szCs w:val="24"/>
        </w:rPr>
        <w:t xml:space="preserve"> 2: Budget Charts and Graphs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firstLineChars="0" w:firstLine="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(1)2009 Budget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97" w:left="809" w:hangingChars="140" w:hanging="336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1. </w:t>
      </w:r>
      <w:r w:rsidRPr="009E02B5">
        <w:rPr>
          <w:rFonts w:ascii="Arial" w:eastAsia="新細明體" w:hAnsi="Arial" w:cs="Arial"/>
          <w:snapToGrid w:val="0"/>
          <w:kern w:val="0"/>
          <w:szCs w:val="24"/>
        </w:rPr>
        <w:t>The budget for the executive and affiliated agencies: The budget in 2009 was NT$</w:t>
      </w:r>
      <w:r w:rsidRPr="009E02B5">
        <w:rPr>
          <w:rFonts w:ascii="Arial" w:eastAsia="新細明體" w:hAnsi="Arial" w:cs="Arial"/>
          <w:color w:val="000000"/>
          <w:szCs w:val="24"/>
        </w:rPr>
        <w:t>107.728 billion,</w:t>
      </w:r>
      <w:r w:rsidRPr="009E02B5">
        <w:rPr>
          <w:rFonts w:ascii="Arial" w:eastAsia="新細明體" w:hAnsi="Arial" w:cs="Arial"/>
          <w:snapToGrid w:val="0"/>
          <w:kern w:val="0"/>
          <w:szCs w:val="24"/>
        </w:rPr>
        <w:t xml:space="preserve"> an increase of NT$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2.964 billion </w:t>
      </w:r>
      <w:r w:rsidRPr="009E02B5">
        <w:rPr>
          <w:rFonts w:ascii="Arial" w:eastAsia="新細明體" w:hAnsi="Arial" w:cs="Arial"/>
          <w:snapToGrid w:val="0"/>
          <w:kern w:val="0"/>
          <w:szCs w:val="24"/>
        </w:rPr>
        <w:t>(</w:t>
      </w:r>
      <w:r w:rsidRPr="009E02B5">
        <w:rPr>
          <w:rFonts w:ascii="Arial" w:eastAsia="新細明體" w:hAnsi="Arial" w:cs="Arial"/>
          <w:color w:val="000000"/>
          <w:szCs w:val="24"/>
        </w:rPr>
        <w:t>2.83%</w:t>
      </w:r>
      <w:r w:rsidRPr="009E02B5">
        <w:rPr>
          <w:rFonts w:ascii="Arial" w:eastAsia="新細明體" w:hAnsi="Arial" w:cs="Arial"/>
          <w:snapToGrid w:val="0"/>
          <w:kern w:val="0"/>
          <w:szCs w:val="24"/>
        </w:rPr>
        <w:t>) over 2008’s NT$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104.765 </w:t>
      </w:r>
      <w:r w:rsidRPr="009E02B5">
        <w:rPr>
          <w:rFonts w:ascii="Arial" w:eastAsia="新細明體" w:hAnsi="Arial" w:cs="Arial"/>
          <w:snapToGrid w:val="0"/>
          <w:kern w:val="0"/>
          <w:szCs w:val="24"/>
        </w:rPr>
        <w:t>billion. Figures 1 and 2 show the budget breakdown.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74" w:left="838" w:hangingChars="175" w:hanging="42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2. Special budget for post-Typhoon </w:t>
      </w:r>
      <w:proofErr w:type="spellStart"/>
      <w:r w:rsidRPr="009E02B5">
        <w:rPr>
          <w:rFonts w:ascii="Arial" w:eastAsia="新細明體" w:hAnsi="Arial" w:cs="Arial"/>
          <w:color w:val="000000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color w:val="000000"/>
          <w:szCs w:val="24"/>
        </w:rPr>
        <w:t xml:space="preserve"> reconstruction: the COA has budgeted a total of NT$26.763 billion for reconstruction from 2009 through 2012. In 2009, the budget is NT$10.767 billion. Please see Figures 3 and 4 for the budget breakdown.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86" w:left="792" w:hangingChars="144" w:hanging="346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3. </w:t>
      </w:r>
      <w:r w:rsidRPr="009E02B5">
        <w:rPr>
          <w:rFonts w:ascii="Arial" w:eastAsia="新細明體" w:hAnsi="Arial" w:cs="Arial"/>
          <w:szCs w:val="24"/>
        </w:rPr>
        <w:t>The budget for affiliated agencies: (Includes the special agricultural and agricultural operation funds)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080" w:firstLineChars="0" w:hanging="36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(1) </w:t>
      </w:r>
      <w:r w:rsidRPr="009E02B5">
        <w:rPr>
          <w:rFonts w:ascii="Arial" w:eastAsia="新細明體" w:hAnsi="Arial" w:cs="Arial"/>
          <w:szCs w:val="24"/>
        </w:rPr>
        <w:t>Total service income was NT$</w:t>
      </w:r>
      <w:r w:rsidRPr="009E02B5">
        <w:rPr>
          <w:rFonts w:ascii="Arial" w:eastAsia="新細明體" w:hAnsi="Arial" w:cs="Arial"/>
          <w:color w:val="000000"/>
          <w:szCs w:val="24"/>
        </w:rPr>
        <w:t>27.237</w:t>
      </w:r>
      <w:r w:rsidRPr="009E02B5">
        <w:rPr>
          <w:rFonts w:ascii="Arial" w:eastAsia="新細明體" w:hAnsi="Arial" w:cs="Arial"/>
          <w:szCs w:val="24"/>
        </w:rPr>
        <w:t xml:space="preserve"> billion, an increase of NT$</w:t>
      </w:r>
      <w:r w:rsidRPr="009E02B5">
        <w:rPr>
          <w:rFonts w:ascii="Arial" w:eastAsia="新細明體" w:hAnsi="Arial" w:cs="Arial"/>
          <w:color w:val="000000"/>
          <w:szCs w:val="24"/>
        </w:rPr>
        <w:t>4.093</w:t>
      </w:r>
      <w:r w:rsidRPr="009E02B5">
        <w:rPr>
          <w:rFonts w:ascii="Arial" w:eastAsia="新細明體" w:hAnsi="Arial" w:cs="Arial"/>
          <w:szCs w:val="24"/>
        </w:rPr>
        <w:t xml:space="preserve"> billion (</w:t>
      </w:r>
      <w:r w:rsidRPr="009E02B5">
        <w:rPr>
          <w:rFonts w:ascii="Arial" w:eastAsia="新細明體" w:hAnsi="Arial" w:cs="Arial"/>
          <w:color w:val="000000"/>
          <w:szCs w:val="24"/>
        </w:rPr>
        <w:t>17.68%</w:t>
      </w:r>
      <w:r w:rsidRPr="009E02B5">
        <w:rPr>
          <w:rFonts w:ascii="Arial" w:eastAsia="新細明體" w:hAnsi="Arial" w:cs="Arial"/>
          <w:szCs w:val="24"/>
        </w:rPr>
        <w:t>) over 2008’s NT$</w:t>
      </w:r>
      <w:r w:rsidRPr="009E02B5">
        <w:rPr>
          <w:rFonts w:ascii="Arial" w:eastAsia="新細明體" w:hAnsi="Arial" w:cs="Arial"/>
          <w:color w:val="000000"/>
          <w:szCs w:val="24"/>
        </w:rPr>
        <w:t>23.144</w:t>
      </w:r>
      <w:r w:rsidRPr="009E02B5">
        <w:rPr>
          <w:rFonts w:ascii="Arial" w:eastAsia="新細明體" w:hAnsi="Arial" w:cs="Arial"/>
          <w:szCs w:val="24"/>
        </w:rPr>
        <w:t xml:space="preserve"> billion</w:t>
      </w:r>
    </w:p>
    <w:p w:rsidR="009E02B5" w:rsidRPr="009E02B5" w:rsidRDefault="009E02B5" w:rsidP="009E02B5">
      <w:pPr>
        <w:widowControl w:val="0"/>
        <w:autoSpaceDE w:val="0"/>
        <w:autoSpaceDN w:val="0"/>
        <w:snapToGrid w:val="0"/>
        <w:spacing w:beforeLines="0" w:before="0" w:line="400" w:lineRule="exact"/>
        <w:ind w:left="1080" w:firstLineChars="0" w:hanging="36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(2) </w:t>
      </w:r>
      <w:r w:rsidRPr="009E02B5">
        <w:rPr>
          <w:rFonts w:ascii="Arial" w:eastAsia="新細明體" w:hAnsi="Arial" w:cs="Arial"/>
          <w:szCs w:val="24"/>
        </w:rPr>
        <w:t>Total service expenditures were NT$</w:t>
      </w:r>
      <w:r w:rsidRPr="009E02B5">
        <w:rPr>
          <w:rFonts w:ascii="Arial" w:eastAsia="新細明體" w:hAnsi="Arial" w:cs="Arial"/>
          <w:color w:val="000000"/>
          <w:szCs w:val="24"/>
        </w:rPr>
        <w:t>42.761</w:t>
      </w:r>
      <w:r w:rsidRPr="009E02B5">
        <w:rPr>
          <w:rFonts w:ascii="Arial" w:eastAsia="新細明體" w:hAnsi="Arial" w:cs="Arial"/>
          <w:szCs w:val="24"/>
        </w:rPr>
        <w:t xml:space="preserve"> billion, an increase of NT$</w:t>
      </w:r>
      <w:r w:rsidRPr="009E02B5">
        <w:rPr>
          <w:rFonts w:ascii="Arial" w:eastAsia="新細明體" w:hAnsi="Arial" w:cs="Arial"/>
          <w:color w:val="000000"/>
          <w:szCs w:val="24"/>
        </w:rPr>
        <w:t>4.071</w:t>
      </w:r>
      <w:r w:rsidRPr="009E02B5">
        <w:rPr>
          <w:rFonts w:ascii="Arial" w:eastAsia="新細明體" w:hAnsi="Arial" w:cs="Arial"/>
          <w:szCs w:val="24"/>
        </w:rPr>
        <w:t xml:space="preserve"> billion, or </w:t>
      </w:r>
      <w:r w:rsidRPr="009E02B5">
        <w:rPr>
          <w:rFonts w:ascii="Arial" w:eastAsia="新細明體" w:hAnsi="Arial" w:cs="Arial"/>
          <w:color w:val="000000"/>
          <w:szCs w:val="24"/>
        </w:rPr>
        <w:t>10.52</w:t>
      </w:r>
      <w:r w:rsidRPr="009E02B5">
        <w:rPr>
          <w:rFonts w:ascii="Arial" w:eastAsia="新細明體" w:hAnsi="Arial" w:cs="Arial"/>
          <w:szCs w:val="24"/>
        </w:rPr>
        <w:t>% from 2008’s NT$</w:t>
      </w:r>
      <w:r w:rsidRPr="009E02B5">
        <w:rPr>
          <w:rFonts w:ascii="Arial" w:eastAsia="新細明體" w:hAnsi="Arial" w:cs="Arial"/>
          <w:color w:val="000000"/>
          <w:szCs w:val="24"/>
        </w:rPr>
        <w:t>38.69</w:t>
      </w:r>
      <w:r w:rsidRPr="009E02B5">
        <w:rPr>
          <w:rFonts w:ascii="Arial" w:eastAsia="新細明體" w:hAnsi="Arial" w:cs="Arial"/>
          <w:szCs w:val="24"/>
        </w:rPr>
        <w:t xml:space="preserve"> billion.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080" w:firstLineChars="0" w:hanging="36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(3) </w:t>
      </w:r>
      <w:r w:rsidRPr="009E02B5">
        <w:rPr>
          <w:rFonts w:ascii="Arial" w:eastAsia="新細明體" w:hAnsi="Arial" w:cs="Arial"/>
          <w:szCs w:val="24"/>
        </w:rPr>
        <w:t>The balance was a deficit of NT$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15.524 </w:t>
      </w:r>
      <w:r w:rsidRPr="009E02B5">
        <w:rPr>
          <w:rFonts w:ascii="Arial" w:eastAsia="新細明體" w:hAnsi="Arial" w:cs="Arial"/>
          <w:szCs w:val="24"/>
        </w:rPr>
        <w:t xml:space="preserve">billion. (See Figure </w:t>
      </w:r>
      <w:r w:rsidRPr="009E02B5">
        <w:rPr>
          <w:rFonts w:ascii="Arial" w:eastAsia="新細明體" w:hAnsi="Arial" w:cs="Arial"/>
          <w:color w:val="000000"/>
          <w:szCs w:val="24"/>
        </w:rPr>
        <w:t>5)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86" w:left="835" w:hangingChars="162" w:hanging="389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4. </w:t>
      </w:r>
      <w:r w:rsidRPr="009E02B5">
        <w:rPr>
          <w:rFonts w:ascii="Arial" w:eastAsia="新細明體" w:hAnsi="Arial" w:cs="Arial"/>
          <w:szCs w:val="24"/>
        </w:rPr>
        <w:t>The budget for the affiliated agencies drawn from the Sino-America Fund: NT$570,000 for agricultural development construction and NT$110 million for agricultural loan projects.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86" w:left="835" w:hangingChars="162" w:hanging="389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Chars="-11" w:left="-26" w:firstLineChars="0" w:firstLine="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FD3DB" wp14:editId="175F7744">
                <wp:simplePos x="0" y="0"/>
                <wp:positionH relativeFrom="column">
                  <wp:posOffset>-2514600</wp:posOffset>
                </wp:positionH>
                <wp:positionV relativeFrom="paragraph">
                  <wp:posOffset>2438400</wp:posOffset>
                </wp:positionV>
                <wp:extent cx="800100" cy="323850"/>
                <wp:effectExtent l="0" t="0" r="0" b="0"/>
                <wp:wrapNone/>
                <wp:docPr id="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2B5" w:rsidRDefault="009E02B5" w:rsidP="009E02B5">
                            <w:pPr>
                              <w:spacing w:before="180"/>
                              <w:ind w:firstLine="480"/>
                              <w:rPr>
                                <w:rFonts w:eastAsia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left:0;text-align:left;margin-left:-198pt;margin-top:192pt;width:6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" filled="f" fillcolor="black" stroked="f">
                <v:textbox>
                  <w:txbxContent>
                    <w:p w:rsidR="009E02B5" w:rsidRDefault="009E02B5" w:rsidP="009E02B5">
                      <w:pPr>
                        <w:spacing w:before="180"/>
                        <w:ind w:firstLine="480"/>
                        <w:rPr>
                          <w:rFonts w:eastAsia="標楷體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E02B5">
        <w:rPr>
          <w:rFonts w:ascii="Arial" w:eastAsia="新細明體" w:hAnsi="Arial" w:cs="Arial"/>
          <w:color w:val="000000"/>
          <w:szCs w:val="24"/>
        </w:rPr>
        <w:t>(2) 2009 Final Account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98" w:left="852" w:hangingChars="157" w:hanging="377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1. </w:t>
      </w:r>
      <w:r w:rsidRPr="009E02B5">
        <w:rPr>
          <w:rFonts w:ascii="Arial" w:eastAsia="新細明體" w:hAnsi="Arial" w:cs="Arial"/>
          <w:szCs w:val="24"/>
        </w:rPr>
        <w:t>The account for the executive and affiliated agencies: In 2009, budgeted expenditures were NT$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107.728 </w:t>
      </w:r>
      <w:r w:rsidRPr="009E02B5">
        <w:rPr>
          <w:rFonts w:ascii="Arial" w:eastAsia="新細明體" w:hAnsi="Arial" w:cs="Arial"/>
          <w:szCs w:val="24"/>
        </w:rPr>
        <w:t xml:space="preserve">billion. </w:t>
      </w:r>
      <w:r w:rsidRPr="009E02B5">
        <w:rPr>
          <w:rFonts w:ascii="Arial" w:eastAsia="新細明體" w:hAnsi="Arial" w:cs="Arial"/>
          <w:kern w:val="0"/>
          <w:szCs w:val="24"/>
        </w:rPr>
        <w:t xml:space="preserve">The final budget was NT$108.228 billion </w:t>
      </w:r>
      <w:r w:rsidRPr="009E02B5">
        <w:rPr>
          <w:rFonts w:ascii="Arial" w:eastAsia="新細明體" w:hAnsi="Arial" w:cs="Arial"/>
          <w:szCs w:val="24"/>
        </w:rPr>
        <w:t xml:space="preserve">(The actual expenditure was NT$101.215 billion, with NT$301 million payable and NT$3.803 billion retained) and the </w:t>
      </w:r>
      <w:r w:rsidRPr="009E02B5">
        <w:rPr>
          <w:rFonts w:ascii="Arial" w:eastAsia="新細明體" w:hAnsi="Arial" w:cs="Arial"/>
          <w:szCs w:val="24"/>
        </w:rPr>
        <w:lastRenderedPageBreak/>
        <w:t>balance was a surplus of NT$2.909 billion, which represents 97.31% of what was budgeted. The details are shown in Figure 6.</w:t>
      </w:r>
    </w:p>
    <w:p w:rsidR="009E02B5" w:rsidRPr="009E02B5" w:rsidRDefault="009E02B5" w:rsidP="009E02B5">
      <w:pPr>
        <w:widowControl w:val="0"/>
        <w:tabs>
          <w:tab w:val="left" w:pos="3010"/>
        </w:tabs>
        <w:autoSpaceDE w:val="0"/>
        <w:autoSpaceDN w:val="0"/>
        <w:snapToGrid w:val="0"/>
        <w:spacing w:beforeLines="0" w:before="0" w:line="400" w:lineRule="exact"/>
        <w:ind w:leftChars="174" w:left="785" w:hangingChars="153" w:hanging="367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2. Special budget for post-Typhoon </w:t>
      </w:r>
      <w:proofErr w:type="spellStart"/>
      <w:r w:rsidRPr="009E02B5">
        <w:rPr>
          <w:rFonts w:ascii="Arial" w:eastAsia="新細明體" w:hAnsi="Arial" w:cs="Arial"/>
          <w:color w:val="000000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color w:val="000000"/>
          <w:szCs w:val="24"/>
        </w:rPr>
        <w:t xml:space="preserve"> reconstruction: The budgeted expenditures were NT$10.767 billion. The final budget was NT$6.134 billion, representing 56.97% of the total funds budgeted. For further details, please see Figure 7.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86" w:left="801" w:hangingChars="148" w:hanging="355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3. </w:t>
      </w:r>
      <w:r w:rsidRPr="009E02B5">
        <w:rPr>
          <w:rFonts w:ascii="Arial" w:eastAsia="新細明體" w:hAnsi="Arial" w:cs="Arial"/>
          <w:szCs w:val="24"/>
        </w:rPr>
        <w:t xml:space="preserve">The account for affiliated agencies: </w:t>
      </w:r>
      <w:r w:rsidRPr="009E02B5">
        <w:rPr>
          <w:rFonts w:ascii="Arial" w:eastAsia="新細明體" w:hAnsi="Arial" w:cs="Arial"/>
          <w:kern w:val="0"/>
          <w:szCs w:val="24"/>
        </w:rPr>
        <w:t>The final account of total service income was NT$</w:t>
      </w:r>
      <w:r w:rsidRPr="009E02B5">
        <w:rPr>
          <w:rFonts w:ascii="Arial" w:eastAsia="新細明體" w:hAnsi="Arial" w:cs="Arial"/>
          <w:color w:val="000000"/>
          <w:szCs w:val="24"/>
        </w:rPr>
        <w:t>29.447</w:t>
      </w:r>
      <w:r w:rsidRPr="009E02B5">
        <w:rPr>
          <w:rFonts w:ascii="Arial" w:eastAsia="新細明體" w:hAnsi="Arial" w:cs="Arial"/>
          <w:kern w:val="0"/>
          <w:szCs w:val="24"/>
        </w:rPr>
        <w:t xml:space="preserve"> billion, which represents </w:t>
      </w:r>
      <w:r w:rsidRPr="009E02B5">
        <w:rPr>
          <w:rFonts w:ascii="Arial" w:eastAsia="新細明體" w:hAnsi="Arial" w:cs="Arial"/>
          <w:color w:val="000000"/>
          <w:szCs w:val="24"/>
        </w:rPr>
        <w:t>108.11%</w:t>
      </w:r>
      <w:r w:rsidRPr="009E02B5">
        <w:rPr>
          <w:rFonts w:ascii="Arial" w:eastAsia="新細明體" w:hAnsi="Arial" w:cs="Arial"/>
          <w:kern w:val="0"/>
          <w:szCs w:val="24"/>
        </w:rPr>
        <w:t xml:space="preserve"> of the </w:t>
      </w:r>
      <w:proofErr w:type="gramStart"/>
      <w:r w:rsidRPr="009E02B5">
        <w:rPr>
          <w:rFonts w:ascii="Arial" w:eastAsia="新細明體" w:hAnsi="Arial" w:cs="Arial"/>
          <w:kern w:val="0"/>
          <w:szCs w:val="24"/>
        </w:rPr>
        <w:t>NT$</w:t>
      </w:r>
      <w:r w:rsidRPr="009E02B5">
        <w:rPr>
          <w:rFonts w:ascii="Arial" w:eastAsia="新細明體" w:hAnsi="Arial" w:cs="Arial"/>
          <w:color w:val="000000"/>
          <w:szCs w:val="24"/>
        </w:rPr>
        <w:t>27.237</w:t>
      </w:r>
      <w:proofErr w:type="gramEnd"/>
      <w:r w:rsidRPr="009E02B5">
        <w:rPr>
          <w:rFonts w:ascii="Arial" w:eastAsia="新細明體" w:hAnsi="Arial" w:cs="Arial"/>
          <w:kern w:val="0"/>
          <w:szCs w:val="24"/>
        </w:rPr>
        <w:t xml:space="preserve"> originally budgeted. The final account of total service expenditures was NT$</w:t>
      </w:r>
      <w:r w:rsidRPr="009E02B5">
        <w:rPr>
          <w:rFonts w:ascii="Arial" w:eastAsia="新細明體" w:hAnsi="Arial" w:cs="Arial"/>
          <w:color w:val="000000"/>
          <w:szCs w:val="24"/>
        </w:rPr>
        <w:t>42.245</w:t>
      </w:r>
      <w:r w:rsidRPr="009E02B5">
        <w:rPr>
          <w:rFonts w:ascii="Arial" w:eastAsia="新細明體" w:hAnsi="Arial" w:cs="Arial"/>
          <w:kern w:val="0"/>
          <w:szCs w:val="24"/>
        </w:rPr>
        <w:t xml:space="preserve"> billion, or </w:t>
      </w:r>
      <w:r w:rsidRPr="009E02B5">
        <w:rPr>
          <w:rFonts w:ascii="Arial" w:eastAsia="新細明體" w:hAnsi="Arial" w:cs="Arial"/>
          <w:color w:val="000000"/>
          <w:szCs w:val="24"/>
        </w:rPr>
        <w:t>98.79%</w:t>
      </w:r>
      <w:r w:rsidRPr="009E02B5">
        <w:rPr>
          <w:rFonts w:ascii="Arial" w:eastAsia="新細明體" w:hAnsi="Arial" w:cs="Arial"/>
          <w:kern w:val="0"/>
          <w:szCs w:val="24"/>
        </w:rPr>
        <w:t xml:space="preserve"> of the NT$</w:t>
      </w:r>
      <w:r w:rsidRPr="009E02B5">
        <w:rPr>
          <w:rFonts w:ascii="Arial" w:eastAsia="新細明體" w:hAnsi="Arial" w:cs="Arial"/>
          <w:color w:val="000000"/>
          <w:szCs w:val="24"/>
        </w:rPr>
        <w:t>42.761</w:t>
      </w:r>
      <w:r w:rsidRPr="009E02B5">
        <w:rPr>
          <w:rFonts w:ascii="Arial" w:eastAsia="新細明體" w:hAnsi="Arial" w:cs="Arial"/>
          <w:kern w:val="0"/>
          <w:szCs w:val="24"/>
        </w:rPr>
        <w:t xml:space="preserve"> budgeted. There was then a deficit of NT$</w:t>
      </w:r>
      <w:r w:rsidRPr="009E02B5">
        <w:rPr>
          <w:rFonts w:ascii="Arial" w:eastAsia="新細明體" w:hAnsi="Arial" w:cs="Arial"/>
          <w:color w:val="000000"/>
          <w:szCs w:val="24"/>
        </w:rPr>
        <w:t>12.798</w:t>
      </w:r>
      <w:r w:rsidRPr="009E02B5">
        <w:rPr>
          <w:rFonts w:ascii="Arial" w:eastAsia="新細明體" w:hAnsi="Arial" w:cs="Arial"/>
          <w:kern w:val="0"/>
          <w:szCs w:val="24"/>
        </w:rPr>
        <w:t xml:space="preserve"> billion (See Figure 8).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74" w:left="785" w:hangingChars="153" w:hanging="367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4. </w:t>
      </w:r>
      <w:r w:rsidRPr="009E02B5">
        <w:rPr>
          <w:rFonts w:ascii="Arial" w:eastAsia="新細明體" w:hAnsi="Arial" w:cs="Arial"/>
          <w:szCs w:val="24"/>
        </w:rPr>
        <w:t>The account for the affiliated agencies drawn from the Sino-America Fund: The final account of agricultural construction projects was NT$3 million and NT$80 million for loan projects.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firstLineChars="0" w:firstLine="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 (3) 2010 Budget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75" w:left="787" w:hangingChars="153" w:hanging="367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1. </w:t>
      </w:r>
      <w:r w:rsidRPr="009E02B5">
        <w:rPr>
          <w:rFonts w:ascii="Arial" w:eastAsia="新細明體" w:hAnsi="Arial" w:cs="Arial"/>
          <w:szCs w:val="24"/>
        </w:rPr>
        <w:t>The budget for the executive and affiliated agencies: The budget for 2010 is NT$</w:t>
      </w:r>
      <w:r w:rsidRPr="009E02B5">
        <w:rPr>
          <w:rFonts w:ascii="Arial" w:eastAsia="新細明體" w:hAnsi="Arial" w:cs="Arial"/>
          <w:color w:val="000000"/>
          <w:szCs w:val="24"/>
        </w:rPr>
        <w:t>106.391</w:t>
      </w:r>
      <w:r w:rsidRPr="009E02B5">
        <w:rPr>
          <w:rFonts w:ascii="Arial" w:eastAsia="新細明體" w:hAnsi="Arial" w:cs="Arial"/>
          <w:szCs w:val="24"/>
        </w:rPr>
        <w:t xml:space="preserve"> billion, which is a decrease of NT$</w:t>
      </w:r>
      <w:r w:rsidRPr="009E02B5">
        <w:rPr>
          <w:rFonts w:ascii="Arial" w:eastAsia="新細明體" w:hAnsi="Arial" w:cs="Arial"/>
          <w:color w:val="000000"/>
          <w:szCs w:val="24"/>
        </w:rPr>
        <w:t>1.34</w:t>
      </w:r>
      <w:r w:rsidRPr="009E02B5">
        <w:rPr>
          <w:rFonts w:ascii="Arial" w:eastAsia="新細明體" w:hAnsi="Arial" w:cs="Arial"/>
          <w:szCs w:val="24"/>
        </w:rPr>
        <w:t xml:space="preserve"> billion (</w:t>
      </w:r>
      <w:r w:rsidRPr="009E02B5">
        <w:rPr>
          <w:rFonts w:ascii="Arial" w:eastAsia="新細明體" w:hAnsi="Arial" w:cs="Arial"/>
          <w:color w:val="000000"/>
          <w:szCs w:val="24"/>
        </w:rPr>
        <w:t>1.24%</w:t>
      </w:r>
      <w:r w:rsidRPr="009E02B5">
        <w:rPr>
          <w:rFonts w:ascii="Arial" w:eastAsia="新細明體" w:hAnsi="Arial" w:cs="Arial"/>
          <w:szCs w:val="24"/>
        </w:rPr>
        <w:t>) over 2009’s NT$</w:t>
      </w:r>
      <w:r w:rsidRPr="009E02B5">
        <w:rPr>
          <w:rFonts w:ascii="Arial" w:eastAsia="新細明體" w:hAnsi="Arial" w:cs="Arial"/>
          <w:color w:val="000000"/>
          <w:szCs w:val="24"/>
        </w:rPr>
        <w:t>107.731</w:t>
      </w:r>
      <w:r w:rsidRPr="009E02B5">
        <w:rPr>
          <w:rFonts w:ascii="Arial" w:eastAsia="新細明體" w:hAnsi="Arial" w:cs="Arial"/>
          <w:szCs w:val="24"/>
        </w:rPr>
        <w:t xml:space="preserve"> billion. The breakdowns are shown in Figures 9 and 10.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87" w:left="816" w:hangingChars="153" w:hanging="367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2. Special budget for post-Typhoon </w:t>
      </w:r>
      <w:proofErr w:type="spellStart"/>
      <w:r w:rsidRPr="009E02B5">
        <w:rPr>
          <w:rFonts w:ascii="Arial" w:eastAsia="新細明體" w:hAnsi="Arial" w:cs="Arial"/>
          <w:color w:val="000000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color w:val="000000"/>
          <w:szCs w:val="24"/>
        </w:rPr>
        <w:t xml:space="preserve"> reconstruction: The COA has budgeted NT$10.661 billion under the special budget for post-Typhoon </w:t>
      </w:r>
      <w:proofErr w:type="spellStart"/>
      <w:r w:rsidRPr="009E02B5">
        <w:rPr>
          <w:rFonts w:ascii="Arial" w:eastAsia="新細明體" w:hAnsi="Arial" w:cs="Arial"/>
          <w:color w:val="000000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color w:val="000000"/>
          <w:szCs w:val="24"/>
        </w:rPr>
        <w:t xml:space="preserve"> reconstruction in 2010. For the budget breakdown, please see Figures 11 and 12.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86" w:left="801" w:hangingChars="148" w:hanging="355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3. </w:t>
      </w:r>
      <w:r w:rsidRPr="009E02B5">
        <w:rPr>
          <w:rFonts w:ascii="Arial" w:eastAsia="新細明體" w:hAnsi="Arial" w:cs="Arial"/>
          <w:szCs w:val="24"/>
        </w:rPr>
        <w:t>The budget for the affiliated agencies</w:t>
      </w:r>
    </w:p>
    <w:p w:rsidR="009E02B5" w:rsidRPr="009E02B5" w:rsidRDefault="009E02B5" w:rsidP="009E02B5">
      <w:pPr>
        <w:widowControl w:val="0"/>
        <w:autoSpaceDE w:val="0"/>
        <w:autoSpaceDN w:val="0"/>
        <w:snapToGrid w:val="0"/>
        <w:spacing w:beforeLines="0" w:before="0" w:line="400" w:lineRule="exact"/>
        <w:ind w:leftChars="299" w:left="1078" w:hangingChars="150" w:hanging="36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(1) </w:t>
      </w:r>
      <w:r w:rsidRPr="009E02B5">
        <w:rPr>
          <w:rFonts w:ascii="Arial" w:eastAsia="新細明體" w:hAnsi="Arial" w:cs="Arial"/>
          <w:szCs w:val="24"/>
        </w:rPr>
        <w:t>Total service income is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NT25.205 billion, an NT$2.032 billion (7.46%) decrease over 2009’s NT$27.237.  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Chars="299" w:left="1078" w:hangingChars="150" w:hanging="36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(2) </w:t>
      </w:r>
      <w:r w:rsidRPr="009E02B5">
        <w:rPr>
          <w:rFonts w:ascii="Arial" w:eastAsia="新細明體" w:hAnsi="Arial" w:cs="Arial"/>
          <w:szCs w:val="24"/>
        </w:rPr>
        <w:t>Total service expenditures are NT$</w:t>
      </w:r>
      <w:r w:rsidRPr="009E02B5">
        <w:rPr>
          <w:rFonts w:ascii="Arial" w:eastAsia="新細明體" w:hAnsi="Arial" w:cs="Arial"/>
          <w:color w:val="000000"/>
          <w:szCs w:val="24"/>
        </w:rPr>
        <w:t>40.498 billion, a decrease of NT$2.263 billion (5.29%) over 2009’s NT$42.761.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Chars="299" w:left="1078" w:hangingChars="150" w:hanging="36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(3) </w:t>
      </w:r>
      <w:r w:rsidRPr="009E02B5">
        <w:rPr>
          <w:rFonts w:ascii="Arial" w:eastAsia="新細明體" w:hAnsi="Arial" w:cs="Arial"/>
          <w:szCs w:val="24"/>
        </w:rPr>
        <w:t>The balance is a deficit of NT$</w:t>
      </w:r>
      <w:r w:rsidRPr="009E02B5">
        <w:rPr>
          <w:rFonts w:ascii="Arial" w:eastAsia="新細明體" w:hAnsi="Arial" w:cs="Arial"/>
          <w:color w:val="000000"/>
          <w:szCs w:val="24"/>
        </w:rPr>
        <w:t>15.293</w:t>
      </w:r>
      <w:r w:rsidRPr="009E02B5">
        <w:rPr>
          <w:rFonts w:ascii="Arial" w:eastAsia="新細明體" w:hAnsi="Arial" w:cs="Arial"/>
          <w:szCs w:val="24"/>
        </w:rPr>
        <w:t xml:space="preserve"> billion (See Figure 13).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Chars="186" w:left="813" w:hangingChars="153" w:hanging="367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4. </w:t>
      </w:r>
      <w:r w:rsidRPr="009E02B5">
        <w:rPr>
          <w:rFonts w:ascii="Arial" w:eastAsia="新細明體" w:hAnsi="Arial" w:cs="Arial"/>
          <w:szCs w:val="24"/>
        </w:rPr>
        <w:t>The budgets for the affiliated agencies drawn from the Sino-America Fund: NT$570,000 for agricultural construction and NT$90 million for loan projects.</w:t>
      </w: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pBdr>
          <w:bottom w:val="single" w:sz="6" w:space="1" w:color="auto"/>
        </w:pBdr>
        <w:spacing w:beforeLines="0" w:before="0" w:line="400" w:lineRule="exact"/>
        <w:ind w:firstLineChars="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Figure 1: 2009 </w:t>
      </w:r>
      <w:r w:rsidRPr="009E02B5">
        <w:rPr>
          <w:rFonts w:ascii="Arial" w:eastAsia="新細明體" w:hAnsi="Arial" w:cs="Arial"/>
          <w:szCs w:val="24"/>
        </w:rPr>
        <w:t xml:space="preserve">Overall budgetary expenditure </w:t>
      </w:r>
      <w:proofErr w:type="gramStart"/>
      <w:r w:rsidRPr="009E02B5">
        <w:rPr>
          <w:rFonts w:ascii="Arial" w:eastAsia="新細明體" w:hAnsi="Arial" w:cs="Arial"/>
          <w:szCs w:val="24"/>
        </w:rPr>
        <w:t>breakdown</w:t>
      </w:r>
      <w:proofErr w:type="gramEnd"/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單位</w:t>
      </w:r>
      <w:r w:rsidRPr="009E02B5">
        <w:rPr>
          <w:rFonts w:ascii="Arial" w:eastAsia="新細明體" w:hAnsi="Arial" w:cs="Arial"/>
          <w:color w:val="000000"/>
          <w:szCs w:val="24"/>
        </w:rPr>
        <w:t>:</w:t>
      </w:r>
      <w:r w:rsidRPr="009E02B5">
        <w:rPr>
          <w:rFonts w:ascii="Arial" w:eastAsia="新細明體" w:hAnsi="Arial" w:cs="Arial" w:hint="eastAsia"/>
          <w:color w:val="000000"/>
          <w:szCs w:val="24"/>
        </w:rPr>
        <w:t>百萬元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Unit: Million NT$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科技支出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Technology expenditures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農業管理與發展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Agricultural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漁業管理與發展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Fishery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林業管理與發展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Forestry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水土保持發展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Water and soil conservation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農糧管理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Agriculture and food management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防檢疫</w:t>
      </w:r>
      <w:r w:rsidRPr="009E02B5">
        <w:rPr>
          <w:rFonts w:ascii="Arial" w:eastAsia="新細明體" w:hAnsi="Arial" w:cs="Arial"/>
          <w:color w:val="000000"/>
          <w:szCs w:val="24"/>
        </w:rPr>
        <w:t>,</w:t>
      </w:r>
      <w:r w:rsidRPr="009E02B5">
        <w:rPr>
          <w:rFonts w:ascii="Arial" w:eastAsia="新細明體" w:hAnsi="Arial" w:cs="Arial" w:hint="eastAsia"/>
          <w:color w:val="000000"/>
          <w:szCs w:val="24"/>
        </w:rPr>
        <w:t>農業金融及其他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Inspection and quarantine, agricultural finance, and other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老農津貼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Subsidies for elderly farmers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預算總數</w:t>
      </w:r>
      <w:r w:rsidRPr="009E02B5">
        <w:rPr>
          <w:rFonts w:ascii="Arial" w:eastAsia="新細明體" w:hAnsi="Arial" w:cs="Arial"/>
          <w:color w:val="000000"/>
          <w:szCs w:val="24"/>
        </w:rPr>
        <w:t>: Total Budget: NT$107.310 billion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70A06DB0" wp14:editId="559CF192">
            <wp:simplePos x="0" y="0"/>
            <wp:positionH relativeFrom="column">
              <wp:posOffset>37465</wp:posOffset>
            </wp:positionH>
            <wp:positionV relativeFrom="paragraph">
              <wp:posOffset>104775</wp:posOffset>
            </wp:positionV>
            <wp:extent cx="5500370" cy="337185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 xml:space="preserve">Figure 2: 2009 </w:t>
      </w:r>
      <w:r w:rsidRPr="009E02B5">
        <w:rPr>
          <w:rFonts w:ascii="Arial" w:eastAsia="新細明體" w:hAnsi="Arial" w:cs="Arial"/>
          <w:szCs w:val="24"/>
        </w:rPr>
        <w:t xml:space="preserve">Budgetary expenditure </w:t>
      </w:r>
      <w:proofErr w:type="gramStart"/>
      <w:r w:rsidRPr="009E02B5">
        <w:rPr>
          <w:rFonts w:ascii="Arial" w:eastAsia="新細明體" w:hAnsi="Arial" w:cs="Arial"/>
          <w:szCs w:val="24"/>
        </w:rPr>
        <w:t>breakdown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for each agency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單位</w:t>
      </w:r>
      <w:r w:rsidRPr="009E02B5">
        <w:rPr>
          <w:rFonts w:ascii="Arial" w:eastAsia="新細明體" w:hAnsi="Arial" w:cs="Arial"/>
          <w:color w:val="000000"/>
          <w:szCs w:val="24"/>
        </w:rPr>
        <w:t>:</w:t>
      </w:r>
      <w:r w:rsidRPr="009E02B5">
        <w:rPr>
          <w:rFonts w:ascii="Arial" w:eastAsia="新細明體" w:hAnsi="Arial" w:cs="Arial" w:hint="eastAsia"/>
          <w:color w:val="000000"/>
          <w:szCs w:val="24"/>
        </w:rPr>
        <w:t>百萬元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Unit: Million NT$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林務局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Forestry Bureau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漁業署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Fishery Agency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防檢疫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Bureau of Animal and Plant Health Inspection and Quarantine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proofErr w:type="gramStart"/>
      <w:r w:rsidRPr="009E02B5">
        <w:rPr>
          <w:rFonts w:ascii="Arial" w:eastAsia="新細明體" w:hAnsi="Arial" w:cs="Arial" w:hint="eastAsia"/>
          <w:color w:val="000000"/>
          <w:szCs w:val="24"/>
        </w:rPr>
        <w:t>農糧署</w:t>
      </w:r>
      <w:proofErr w:type="gramEnd"/>
      <w:r w:rsidRPr="009E02B5">
        <w:rPr>
          <w:rFonts w:ascii="Arial" w:eastAsia="新細明體" w:hAnsi="Arial" w:cs="Arial"/>
          <w:color w:val="000000"/>
          <w:szCs w:val="24"/>
        </w:rPr>
        <w:t xml:space="preserve"> Agriculture and Food Agency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其他所屬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Other affiliated agencies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本會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Council of Agriculture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預算總數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Total Budget: NT$107.310 billion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57BF6FE5" wp14:editId="663489B8">
            <wp:simplePos x="0" y="0"/>
            <wp:positionH relativeFrom="column">
              <wp:posOffset>-57150</wp:posOffset>
            </wp:positionH>
            <wp:positionV relativeFrom="paragraph">
              <wp:posOffset>3175</wp:posOffset>
            </wp:positionV>
            <wp:extent cx="5742940" cy="35242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>Figure 3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proofErr w:type="gramStart"/>
      <w:r w:rsidRPr="009E02B5">
        <w:rPr>
          <w:rFonts w:ascii="Arial" w:eastAsia="新細明體" w:hAnsi="Arial" w:cs="Arial"/>
          <w:color w:val="000000"/>
          <w:szCs w:val="24"/>
        </w:rPr>
        <w:t>2009</w:t>
      </w:r>
      <w:r w:rsidRPr="009E02B5">
        <w:rPr>
          <w:rFonts w:ascii="Arial" w:eastAsia="新細明體" w:hAnsi="Arial" w:cs="Arial" w:hint="eastAsia"/>
          <w:color w:val="000000"/>
          <w:szCs w:val="24"/>
        </w:rPr>
        <w:t>年度莫拉克</w:t>
      </w:r>
      <w:proofErr w:type="gramEnd"/>
      <w:r w:rsidRPr="009E02B5">
        <w:rPr>
          <w:rFonts w:ascii="Arial" w:eastAsia="新細明體" w:hAnsi="Arial" w:cs="Arial" w:hint="eastAsia"/>
          <w:color w:val="000000"/>
          <w:szCs w:val="24"/>
        </w:rPr>
        <w:t>颱風災後重建</w:t>
      </w:r>
      <w:r w:rsidRPr="009E02B5">
        <w:rPr>
          <w:rFonts w:ascii="Arial" w:eastAsia="新細明體" w:hAnsi="Arial" w:cs="Arial" w:hint="eastAsia"/>
          <w:szCs w:val="24"/>
        </w:rPr>
        <w:t>特別預算歲出預算主要內容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 xml:space="preserve">2009 Special budget for post-Typhoon </w:t>
      </w:r>
      <w:proofErr w:type="spellStart"/>
      <w:r w:rsidRPr="009E02B5">
        <w:rPr>
          <w:rFonts w:ascii="Arial" w:eastAsia="新細明體" w:hAnsi="Arial" w:cs="Arial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szCs w:val="24"/>
        </w:rPr>
        <w:t xml:space="preserve"> reconstruction expenditure breakdown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單位</w:t>
      </w:r>
      <w:r w:rsidRPr="009E02B5">
        <w:rPr>
          <w:rFonts w:ascii="Arial" w:eastAsia="新細明體" w:hAnsi="Arial" w:cs="Arial"/>
          <w:szCs w:val="24"/>
        </w:rPr>
        <w:t>:</w:t>
      </w:r>
      <w:r w:rsidRPr="009E02B5">
        <w:rPr>
          <w:rFonts w:ascii="Arial" w:eastAsia="新細明體" w:hAnsi="Arial" w:cs="Arial" w:hint="eastAsia"/>
          <w:szCs w:val="24"/>
        </w:rPr>
        <w:t>百萬元</w:t>
      </w:r>
      <w:r w:rsidRPr="009E02B5">
        <w:rPr>
          <w:rFonts w:ascii="Arial" w:eastAsia="新細明體" w:hAnsi="Arial" w:cs="Arial"/>
          <w:szCs w:val="24"/>
        </w:rPr>
        <w:t xml:space="preserve"> Unit: Million NT$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復建業務</w:t>
      </w:r>
      <w:r w:rsidRPr="009E02B5">
        <w:rPr>
          <w:rFonts w:ascii="Arial" w:eastAsia="新細明體" w:hAnsi="Arial" w:cs="Arial"/>
          <w:szCs w:val="24"/>
        </w:rPr>
        <w:t xml:space="preserve"> Reconstruction projects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災害應變業務</w:t>
      </w:r>
      <w:r w:rsidRPr="009E02B5">
        <w:rPr>
          <w:rFonts w:ascii="Arial" w:eastAsia="新細明體" w:hAnsi="Arial" w:cs="Arial"/>
          <w:szCs w:val="24"/>
        </w:rPr>
        <w:t xml:space="preserve"> Disaster response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產業紓困業務</w:t>
      </w:r>
      <w:r w:rsidRPr="009E02B5">
        <w:rPr>
          <w:rFonts w:ascii="Arial" w:eastAsia="新細明體" w:hAnsi="Arial" w:cs="Arial"/>
          <w:szCs w:val="24"/>
        </w:rPr>
        <w:t xml:space="preserve">  Industry relief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災民救助及安置業務</w:t>
      </w:r>
      <w:r w:rsidRPr="009E02B5">
        <w:rPr>
          <w:rFonts w:ascii="Arial" w:eastAsia="新細明體" w:hAnsi="Arial" w:cs="Arial"/>
          <w:szCs w:val="24"/>
        </w:rPr>
        <w:t xml:space="preserve"> Assistance and shelter for disaster sufferers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3EE7A8CB" wp14:editId="584347D1">
            <wp:simplePos x="0" y="0"/>
            <wp:positionH relativeFrom="column">
              <wp:posOffset>-76835</wp:posOffset>
            </wp:positionH>
            <wp:positionV relativeFrom="paragraph">
              <wp:posOffset>114300</wp:posOffset>
            </wp:positionV>
            <wp:extent cx="5721350" cy="349567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szCs w:val="24"/>
        </w:rPr>
      </w:pPr>
      <w:r>
        <w:rPr>
          <w:rFonts w:ascii="Arial" w:eastAsia="新細明體" w:hAnsi="Arial" w:cs="Arial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b/>
          <w:szCs w:val="24"/>
        </w:rPr>
      </w:pPr>
      <w:r w:rsidRPr="009E02B5">
        <w:rPr>
          <w:rFonts w:ascii="Arial" w:eastAsia="新細明體" w:hAnsi="Arial" w:cs="Arial"/>
          <w:szCs w:val="24"/>
        </w:rPr>
        <w:lastRenderedPageBreak/>
        <w:t xml:space="preserve">Figure 4: 2009 Special </w:t>
      </w:r>
      <w:proofErr w:type="gramStart"/>
      <w:r w:rsidRPr="009E02B5">
        <w:rPr>
          <w:rFonts w:ascii="Arial" w:eastAsia="新細明體" w:hAnsi="Arial" w:cs="Arial"/>
          <w:szCs w:val="24"/>
        </w:rPr>
        <w:t>budget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for post-Typhoon </w:t>
      </w:r>
      <w:proofErr w:type="spellStart"/>
      <w:r w:rsidRPr="009E02B5">
        <w:rPr>
          <w:rFonts w:ascii="Arial" w:eastAsia="新細明體" w:hAnsi="Arial" w:cs="Arial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szCs w:val="24"/>
        </w:rPr>
        <w:t xml:space="preserve"> reconstruction expenditure breakdown by agency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單位</w:t>
      </w:r>
      <w:r w:rsidRPr="009E02B5">
        <w:rPr>
          <w:rFonts w:ascii="Arial" w:eastAsia="新細明體" w:hAnsi="Arial" w:cs="Arial"/>
          <w:szCs w:val="24"/>
        </w:rPr>
        <w:t>:</w:t>
      </w:r>
      <w:r w:rsidRPr="009E02B5">
        <w:rPr>
          <w:rFonts w:ascii="Arial" w:eastAsia="新細明體" w:hAnsi="Arial" w:cs="Arial" w:hint="eastAsia"/>
          <w:szCs w:val="24"/>
        </w:rPr>
        <w:t>百萬元</w:t>
      </w:r>
      <w:r w:rsidRPr="009E02B5">
        <w:rPr>
          <w:rFonts w:ascii="Arial" w:eastAsia="新細明體" w:hAnsi="Arial" w:cs="Arial"/>
          <w:szCs w:val="24"/>
        </w:rPr>
        <w:t xml:space="preserve"> Unit: Million NT$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林務局</w:t>
      </w:r>
      <w:r w:rsidRPr="009E02B5">
        <w:rPr>
          <w:rFonts w:ascii="Arial" w:eastAsia="新細明體" w:hAnsi="Arial" w:cs="Arial"/>
          <w:szCs w:val="24"/>
        </w:rPr>
        <w:t xml:space="preserve"> Forestry Bureau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水土保持局</w:t>
      </w:r>
      <w:r w:rsidRPr="009E02B5">
        <w:rPr>
          <w:rFonts w:ascii="Arial" w:eastAsia="新細明體" w:hAnsi="Arial" w:cs="Arial"/>
          <w:szCs w:val="24"/>
        </w:rPr>
        <w:t xml:space="preserve"> Soil and Water Conservation Bureau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漁業署</w:t>
      </w:r>
      <w:r w:rsidRPr="009E02B5">
        <w:rPr>
          <w:rFonts w:ascii="Arial" w:eastAsia="新細明體" w:hAnsi="Arial" w:cs="Arial"/>
          <w:szCs w:val="24"/>
        </w:rPr>
        <w:t xml:space="preserve"> Fishery Agency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動植物防疫檢疫局</w:t>
      </w:r>
      <w:r w:rsidRPr="009E02B5">
        <w:rPr>
          <w:rFonts w:ascii="Arial" w:eastAsia="新細明體" w:hAnsi="Arial" w:cs="Arial"/>
          <w:szCs w:val="24"/>
        </w:rPr>
        <w:t xml:space="preserve"> Bureau of Animal and Plant Health Inspection and Quarantine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農業金融局</w:t>
      </w:r>
      <w:r w:rsidRPr="009E02B5">
        <w:rPr>
          <w:rFonts w:ascii="Arial" w:eastAsia="新細明體" w:hAnsi="Arial" w:cs="Arial"/>
          <w:szCs w:val="24"/>
        </w:rPr>
        <w:t xml:space="preserve"> Bureau of Agricultural Finance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proofErr w:type="gramStart"/>
      <w:r w:rsidRPr="009E02B5">
        <w:rPr>
          <w:rFonts w:ascii="Arial" w:eastAsia="新細明體" w:hAnsi="Arial" w:cs="Arial" w:hint="eastAsia"/>
          <w:szCs w:val="24"/>
        </w:rPr>
        <w:t>農糧署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Agriculture and Food Agency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本會</w:t>
      </w:r>
      <w:r w:rsidRPr="009E02B5">
        <w:rPr>
          <w:rFonts w:ascii="Arial" w:eastAsia="新細明體" w:hAnsi="Arial" w:cs="Arial"/>
          <w:szCs w:val="24"/>
        </w:rPr>
        <w:t xml:space="preserve"> Council of Agriculture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預算總數</w:t>
      </w:r>
      <w:r w:rsidRPr="009E02B5">
        <w:rPr>
          <w:rFonts w:ascii="Arial" w:eastAsia="新細明體" w:hAnsi="Arial" w:cs="Arial"/>
          <w:szCs w:val="24"/>
        </w:rPr>
        <w:t xml:space="preserve"> Total Budget: NT$107.310 billion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b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78B0D04B" wp14:editId="3233CF66">
            <wp:simplePos x="0" y="0"/>
            <wp:positionH relativeFrom="column">
              <wp:posOffset>-67310</wp:posOffset>
            </wp:positionH>
            <wp:positionV relativeFrom="paragraph">
              <wp:posOffset>211138</wp:posOffset>
            </wp:positionV>
            <wp:extent cx="5536617" cy="33909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17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szCs w:val="24"/>
        </w:rPr>
      </w:pPr>
      <w:r>
        <w:rPr>
          <w:rFonts w:ascii="Arial" w:eastAsia="新細明體" w:hAnsi="Arial" w:cs="Arial"/>
          <w:szCs w:val="24"/>
        </w:rPr>
        <w:br w:type="page"/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lastRenderedPageBreak/>
        <w:t>Figure 5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本會主管附屬單位預算</w:t>
      </w:r>
      <w:r w:rsidRPr="009E02B5">
        <w:rPr>
          <w:rFonts w:ascii="Arial" w:eastAsia="新細明體" w:hAnsi="Arial" w:cs="Arial"/>
          <w:szCs w:val="24"/>
        </w:rPr>
        <w:t>2009</w:t>
      </w:r>
      <w:r w:rsidRPr="009E02B5">
        <w:rPr>
          <w:rFonts w:ascii="Arial" w:eastAsia="新細明體" w:hAnsi="Arial" w:cs="Arial" w:hint="eastAsia"/>
          <w:szCs w:val="24"/>
        </w:rPr>
        <w:t>及</w:t>
      </w:r>
      <w:r w:rsidRPr="009E02B5">
        <w:rPr>
          <w:rFonts w:ascii="Arial" w:eastAsia="新細明體" w:hAnsi="Arial" w:cs="Arial"/>
          <w:szCs w:val="24"/>
        </w:rPr>
        <w:t>2008</w:t>
      </w:r>
      <w:r w:rsidRPr="009E02B5">
        <w:rPr>
          <w:rFonts w:ascii="Arial" w:eastAsia="新細明體" w:hAnsi="Arial" w:cs="Arial" w:hint="eastAsia"/>
          <w:szCs w:val="24"/>
        </w:rPr>
        <w:t>年度比較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Comparison of the 2009 and 2008 Budgets for the Executive and Affiliated Agencies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(</w:t>
      </w:r>
      <w:r w:rsidRPr="009E02B5">
        <w:rPr>
          <w:rFonts w:ascii="Arial" w:eastAsia="新細明體" w:hAnsi="Arial" w:cs="Arial" w:hint="eastAsia"/>
          <w:szCs w:val="24"/>
        </w:rPr>
        <w:t>百萬元</w:t>
      </w:r>
      <w:r w:rsidRPr="009E02B5">
        <w:rPr>
          <w:rFonts w:ascii="Arial" w:eastAsia="新細明體" w:hAnsi="Arial" w:cs="Arial"/>
          <w:szCs w:val="24"/>
        </w:rPr>
        <w:t>) (Million NT$)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 xml:space="preserve">2009 </w:t>
      </w:r>
      <w:r w:rsidRPr="009E02B5">
        <w:rPr>
          <w:rFonts w:ascii="Arial" w:eastAsia="新細明體" w:hAnsi="Arial" w:cs="Arial" w:hint="eastAsia"/>
          <w:szCs w:val="24"/>
        </w:rPr>
        <w:t>預算</w:t>
      </w:r>
      <w:r w:rsidRPr="009E02B5">
        <w:rPr>
          <w:rFonts w:ascii="Arial" w:eastAsia="新細明體" w:hAnsi="Arial" w:cs="Arial"/>
          <w:szCs w:val="24"/>
        </w:rPr>
        <w:t xml:space="preserve"> 2009 Budget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 xml:space="preserve">2008 </w:t>
      </w:r>
      <w:r w:rsidRPr="009E02B5">
        <w:rPr>
          <w:rFonts w:ascii="Arial" w:eastAsia="新細明體" w:hAnsi="Arial" w:cs="Arial" w:hint="eastAsia"/>
          <w:szCs w:val="24"/>
        </w:rPr>
        <w:t>預算</w:t>
      </w:r>
      <w:r w:rsidRPr="009E02B5">
        <w:rPr>
          <w:rFonts w:ascii="Arial" w:eastAsia="新細明體" w:hAnsi="Arial" w:cs="Arial"/>
          <w:szCs w:val="24"/>
        </w:rPr>
        <w:t xml:space="preserve"> 2008 Budget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業務總收入</w:t>
      </w:r>
      <w:r w:rsidRPr="009E02B5">
        <w:rPr>
          <w:rFonts w:ascii="Arial" w:eastAsia="新細明體" w:hAnsi="Arial" w:cs="Arial"/>
          <w:szCs w:val="24"/>
        </w:rPr>
        <w:t xml:space="preserve"> Total service income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業務總支出</w:t>
      </w:r>
      <w:r w:rsidRPr="009E02B5">
        <w:rPr>
          <w:rFonts w:ascii="Arial" w:eastAsia="新細明體" w:hAnsi="Arial" w:cs="Arial"/>
          <w:szCs w:val="24"/>
        </w:rPr>
        <w:t xml:space="preserve"> Total service expenditures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本期短</w:t>
      </w:r>
      <w:proofErr w:type="gramStart"/>
      <w:r w:rsidRPr="009E02B5">
        <w:rPr>
          <w:rFonts w:ascii="Arial" w:eastAsia="新細明體" w:hAnsi="Arial" w:cs="Arial" w:hint="eastAsia"/>
          <w:szCs w:val="24"/>
        </w:rPr>
        <w:t>絀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Budget deficit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63E85C05" wp14:editId="641F0A26">
            <wp:simplePos x="0" y="0"/>
            <wp:positionH relativeFrom="column">
              <wp:posOffset>-143510</wp:posOffset>
            </wp:positionH>
            <wp:positionV relativeFrom="paragraph">
              <wp:posOffset>231775</wp:posOffset>
            </wp:positionV>
            <wp:extent cx="5728970" cy="2952750"/>
            <wp:effectExtent l="0" t="0" r="5080" b="0"/>
            <wp:wrapNone/>
            <wp:docPr id="6" name="物件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szCs w:val="24"/>
        </w:rPr>
      </w:pPr>
      <w:r>
        <w:rPr>
          <w:rFonts w:ascii="Arial" w:eastAsia="新細明體" w:hAnsi="Arial" w:cs="Arial"/>
          <w:szCs w:val="24"/>
        </w:rPr>
        <w:br w:type="page"/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lastRenderedPageBreak/>
        <w:t xml:space="preserve">Figure 6: </w:t>
      </w:r>
      <w:r w:rsidRPr="009E02B5">
        <w:rPr>
          <w:rFonts w:ascii="Arial" w:eastAsia="SimSun" w:hAnsi="Arial" w:cs="Arial"/>
          <w:szCs w:val="24"/>
          <w:lang w:eastAsia="zh-CN"/>
        </w:rPr>
        <w:t>F</w:t>
      </w:r>
      <w:r w:rsidRPr="009E02B5">
        <w:rPr>
          <w:rFonts w:ascii="Arial" w:eastAsia="新細明體" w:hAnsi="Arial" w:cs="Arial"/>
          <w:szCs w:val="24"/>
        </w:rPr>
        <w:t xml:space="preserve">inal account breakdown </w:t>
      </w:r>
      <w:r w:rsidRPr="009E02B5">
        <w:rPr>
          <w:rFonts w:ascii="Arial" w:eastAsia="SimSun" w:hAnsi="Arial" w:cs="Arial"/>
          <w:szCs w:val="24"/>
          <w:lang w:eastAsia="zh-CN"/>
        </w:rPr>
        <w:t>for e</w:t>
      </w:r>
      <w:r w:rsidRPr="009E02B5">
        <w:rPr>
          <w:rFonts w:ascii="Arial" w:eastAsia="新細明體" w:hAnsi="Arial" w:cs="Arial"/>
          <w:szCs w:val="24"/>
        </w:rPr>
        <w:t xml:space="preserve">xecutive and affiliated agencies </w:t>
      </w:r>
      <w:r w:rsidRPr="009E02B5">
        <w:rPr>
          <w:rFonts w:ascii="Arial" w:eastAsia="SimSun" w:hAnsi="Arial" w:cs="Arial"/>
          <w:szCs w:val="24"/>
          <w:lang w:eastAsia="zh-CN"/>
        </w:rPr>
        <w:t xml:space="preserve">for </w:t>
      </w:r>
      <w:r w:rsidRPr="009E02B5">
        <w:rPr>
          <w:rFonts w:ascii="Arial" w:eastAsia="新細明體" w:hAnsi="Arial" w:cs="Arial"/>
          <w:szCs w:val="24"/>
        </w:rPr>
        <w:t>2008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科技支出</w:t>
      </w:r>
      <w:r w:rsidRPr="009E02B5">
        <w:rPr>
          <w:rFonts w:ascii="Arial" w:eastAsia="新細明體" w:hAnsi="Arial" w:cs="Arial"/>
          <w:szCs w:val="24"/>
        </w:rPr>
        <w:t xml:space="preserve"> Technology expenditures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農業管理與發展</w:t>
      </w:r>
      <w:r w:rsidRPr="009E02B5">
        <w:rPr>
          <w:rFonts w:ascii="Arial" w:eastAsia="新細明體" w:hAnsi="Arial" w:cs="Arial"/>
          <w:szCs w:val="24"/>
        </w:rPr>
        <w:t xml:space="preserve"> Agricultural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漁業管理與發展</w:t>
      </w:r>
      <w:r w:rsidRPr="009E02B5">
        <w:rPr>
          <w:rFonts w:ascii="Arial" w:eastAsia="新細明體" w:hAnsi="Arial" w:cs="Arial"/>
          <w:szCs w:val="24"/>
        </w:rPr>
        <w:t xml:space="preserve"> Fishery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林業管理與發展</w:t>
      </w:r>
      <w:r w:rsidRPr="009E02B5">
        <w:rPr>
          <w:rFonts w:ascii="Arial" w:eastAsia="新細明體" w:hAnsi="Arial" w:cs="Arial"/>
          <w:szCs w:val="24"/>
        </w:rPr>
        <w:t xml:space="preserve"> Forestry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水土保持發展</w:t>
      </w:r>
      <w:r w:rsidRPr="009E02B5">
        <w:rPr>
          <w:rFonts w:ascii="Arial" w:eastAsia="新細明體" w:hAnsi="Arial" w:cs="Arial"/>
          <w:szCs w:val="24"/>
        </w:rPr>
        <w:t xml:space="preserve"> Water and soil conservation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農糧管理</w:t>
      </w:r>
      <w:r w:rsidRPr="009E02B5">
        <w:rPr>
          <w:rFonts w:ascii="Arial" w:eastAsia="新細明體" w:hAnsi="Arial" w:cs="Arial"/>
          <w:szCs w:val="24"/>
        </w:rPr>
        <w:t xml:space="preserve"> Agriculture and food management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防檢疫</w:t>
      </w:r>
      <w:r w:rsidRPr="009E02B5">
        <w:rPr>
          <w:rFonts w:ascii="Arial" w:eastAsia="新細明體" w:hAnsi="Arial" w:cs="Arial"/>
          <w:szCs w:val="24"/>
        </w:rPr>
        <w:t>,</w:t>
      </w:r>
      <w:r w:rsidRPr="009E02B5">
        <w:rPr>
          <w:rFonts w:ascii="Arial" w:eastAsia="新細明體" w:hAnsi="Arial" w:cs="Arial" w:hint="eastAsia"/>
          <w:szCs w:val="24"/>
        </w:rPr>
        <w:t>農業金融及其他</w:t>
      </w:r>
      <w:r w:rsidRPr="009E02B5">
        <w:rPr>
          <w:rFonts w:ascii="Arial" w:eastAsia="新細明體" w:hAnsi="Arial" w:cs="Arial"/>
          <w:szCs w:val="24"/>
        </w:rPr>
        <w:t xml:space="preserve"> Inspection and quarantine, agricultural finance, and other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非營業特種基金</w:t>
      </w:r>
      <w:r w:rsidRPr="009E02B5">
        <w:rPr>
          <w:rFonts w:ascii="Arial" w:eastAsia="新細明體" w:hAnsi="Arial" w:cs="Arial"/>
          <w:szCs w:val="24"/>
        </w:rPr>
        <w:t xml:space="preserve"> Non-operational special funds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老農津貼</w:t>
      </w:r>
      <w:r w:rsidRPr="009E02B5">
        <w:rPr>
          <w:rFonts w:ascii="Arial" w:eastAsia="新細明體" w:hAnsi="Arial" w:cs="Arial"/>
          <w:szCs w:val="24"/>
        </w:rPr>
        <w:t xml:space="preserve"> Subsidies for elderly farmers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合計</w:t>
      </w:r>
      <w:r w:rsidRPr="009E02B5">
        <w:rPr>
          <w:rFonts w:ascii="Arial" w:eastAsia="新細明體" w:hAnsi="Arial" w:cs="Arial"/>
          <w:szCs w:val="24"/>
        </w:rPr>
        <w:t xml:space="preserve"> Total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6089E69E" wp14:editId="256119CF">
            <wp:simplePos x="0" y="0"/>
            <wp:positionH relativeFrom="column">
              <wp:posOffset>-228600</wp:posOffset>
            </wp:positionH>
            <wp:positionV relativeFrom="paragraph">
              <wp:posOffset>111125</wp:posOffset>
            </wp:positionV>
            <wp:extent cx="6236354" cy="325755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54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 xml:space="preserve">Figure 7: The 2009 special budget for post-Typhoon </w:t>
      </w:r>
      <w:proofErr w:type="spellStart"/>
      <w:r w:rsidRPr="009E02B5">
        <w:rPr>
          <w:rFonts w:ascii="Arial" w:eastAsia="新細明體" w:hAnsi="Arial" w:cs="Arial"/>
          <w:color w:val="000000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color w:val="000000"/>
          <w:szCs w:val="24"/>
        </w:rPr>
        <w:t xml:space="preserve"> reconstruction</w:t>
      </w:r>
      <w:r w:rsidRPr="009E02B5">
        <w:rPr>
          <w:rFonts w:ascii="Arial" w:eastAsia="新細明體" w:hAnsi="Arial" w:cs="Arial"/>
          <w:szCs w:val="24"/>
        </w:rPr>
        <w:t xml:space="preserve"> final account breakdown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(</w:t>
      </w:r>
      <w:r w:rsidRPr="009E02B5">
        <w:rPr>
          <w:rFonts w:ascii="Arial" w:eastAsia="新細明體" w:hAnsi="Arial" w:cs="Arial" w:hint="eastAsia"/>
          <w:color w:val="000000"/>
          <w:szCs w:val="24"/>
        </w:rPr>
        <w:t>百萬元</w:t>
      </w:r>
      <w:r w:rsidRPr="009E02B5">
        <w:rPr>
          <w:rFonts w:ascii="Arial" w:eastAsia="新細明體" w:hAnsi="Arial" w:cs="Arial"/>
          <w:color w:val="000000"/>
          <w:szCs w:val="24"/>
        </w:rPr>
        <w:t>)  NT$1 Million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本會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Council of Agriculture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林務局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Forestry Bureau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水保局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Soil and Water Conservation Bureau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漁業署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Fishery Agency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防檢局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Bureau of Animal and Plant Health Inspection and Quarantine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proofErr w:type="gramStart"/>
      <w:r w:rsidRPr="009E02B5">
        <w:rPr>
          <w:rFonts w:ascii="Arial" w:eastAsia="新細明體" w:hAnsi="Arial" w:cs="Arial" w:hint="eastAsia"/>
          <w:color w:val="000000"/>
          <w:szCs w:val="24"/>
        </w:rPr>
        <w:t>農金局</w:t>
      </w:r>
      <w:proofErr w:type="gramEnd"/>
      <w:r w:rsidRPr="009E02B5">
        <w:rPr>
          <w:rFonts w:ascii="Arial" w:eastAsia="新細明體" w:hAnsi="Arial" w:cs="Arial"/>
          <w:color w:val="000000"/>
          <w:szCs w:val="24"/>
        </w:rPr>
        <w:t xml:space="preserve"> Bureau of Agricultural Finance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6432" behindDoc="1" locked="0" layoutInCell="1" allowOverlap="1" wp14:anchorId="2C3274A0" wp14:editId="26B0F2B9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5882158" cy="390525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94" cy="3912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 xml:space="preserve">Figure 8: </w:t>
      </w:r>
      <w:r w:rsidRPr="009E02B5">
        <w:rPr>
          <w:rFonts w:ascii="Arial" w:eastAsia="新細明體" w:hAnsi="Arial" w:cs="Arial"/>
          <w:szCs w:val="24"/>
        </w:rPr>
        <w:t>Comparison of the 2009 budget and final account for the executive and affiliated agencies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2009 </w:t>
      </w:r>
      <w:r w:rsidRPr="009E02B5">
        <w:rPr>
          <w:rFonts w:ascii="Arial" w:eastAsia="新細明體" w:hAnsi="Arial" w:cs="Arial" w:hint="eastAsia"/>
          <w:color w:val="000000"/>
          <w:szCs w:val="24"/>
        </w:rPr>
        <w:t>預算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2009 Budget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2009 </w:t>
      </w:r>
      <w:r w:rsidRPr="009E02B5">
        <w:rPr>
          <w:rFonts w:ascii="Arial" w:eastAsia="新細明體" w:hAnsi="Arial" w:cs="Arial" w:hint="eastAsia"/>
          <w:color w:val="000000"/>
          <w:szCs w:val="24"/>
        </w:rPr>
        <w:t>決算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2009 Final Account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(</w:t>
      </w:r>
      <w:r w:rsidRPr="009E02B5">
        <w:rPr>
          <w:rFonts w:ascii="Arial" w:eastAsia="新細明體" w:hAnsi="Arial" w:cs="Arial" w:hint="eastAsia"/>
          <w:color w:val="000000"/>
          <w:szCs w:val="24"/>
        </w:rPr>
        <w:t>百萬元</w:t>
      </w:r>
      <w:r w:rsidRPr="009E02B5">
        <w:rPr>
          <w:rFonts w:ascii="Arial" w:eastAsia="新細明體" w:hAnsi="Arial" w:cs="Arial"/>
          <w:color w:val="000000"/>
          <w:szCs w:val="24"/>
        </w:rPr>
        <w:t>) NT$1 Million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業務總收入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Total Service Income</w:t>
      </w:r>
      <w:r w:rsidRPr="009E02B5">
        <w:rPr>
          <w:rFonts w:ascii="Arial" w:eastAsia="新細明體" w:hAnsi="Arial" w:cs="Arial"/>
          <w:color w:val="000000"/>
          <w:szCs w:val="24"/>
        </w:rPr>
        <w:tab/>
        <w:t xml:space="preserve"> 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業務總支出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Total Service Expenditures</w:t>
      </w:r>
    </w:p>
    <w:p w:rsidR="009E02B5" w:rsidRPr="009E02B5" w:rsidRDefault="009E02B5" w:rsidP="009E02B5">
      <w:pPr>
        <w:widowControl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本期短</w:t>
      </w:r>
      <w:proofErr w:type="gramStart"/>
      <w:r w:rsidRPr="009E02B5">
        <w:rPr>
          <w:rFonts w:ascii="Arial" w:eastAsia="新細明體" w:hAnsi="Arial" w:cs="Arial" w:hint="eastAsia"/>
          <w:color w:val="000000"/>
          <w:szCs w:val="24"/>
        </w:rPr>
        <w:t>絀</w:t>
      </w:r>
      <w:proofErr w:type="gramEnd"/>
      <w:r w:rsidRPr="009E02B5">
        <w:rPr>
          <w:rFonts w:ascii="Arial" w:eastAsia="新細明體" w:hAnsi="Arial" w:cs="Arial"/>
          <w:color w:val="000000"/>
          <w:szCs w:val="24"/>
        </w:rPr>
        <w:t xml:space="preserve"> Deficit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33C2D4FF" wp14:editId="5472056A">
            <wp:simplePos x="0" y="0"/>
            <wp:positionH relativeFrom="column">
              <wp:posOffset>-1</wp:posOffset>
            </wp:positionH>
            <wp:positionV relativeFrom="paragraph">
              <wp:posOffset>212725</wp:posOffset>
            </wp:positionV>
            <wp:extent cx="5790251" cy="3476625"/>
            <wp:effectExtent l="0" t="0" r="1270" b="0"/>
            <wp:wrapNone/>
            <wp:docPr id="9" name="物件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0"/>
        </w:tabs>
        <w:snapToGrid w:val="0"/>
        <w:spacing w:beforeLines="0" w:before="0" w:line="400" w:lineRule="exact"/>
        <w:ind w:firstLineChars="0" w:firstLine="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 xml:space="preserve">Figure 9: </w:t>
      </w:r>
      <w:r w:rsidRPr="009E02B5">
        <w:rPr>
          <w:rFonts w:ascii="Arial" w:eastAsia="新細明體" w:hAnsi="Arial" w:cs="Arial"/>
          <w:szCs w:val="24"/>
        </w:rPr>
        <w:t xml:space="preserve">2010 Overall budgetary expenditure </w:t>
      </w:r>
      <w:proofErr w:type="gramStart"/>
      <w:r w:rsidRPr="009E02B5">
        <w:rPr>
          <w:rFonts w:ascii="Arial" w:eastAsia="新細明體" w:hAnsi="Arial" w:cs="Arial"/>
          <w:szCs w:val="24"/>
        </w:rPr>
        <w:t>breakdown</w:t>
      </w:r>
      <w:proofErr w:type="gramEnd"/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單位</w:t>
      </w:r>
      <w:r w:rsidRPr="009E02B5">
        <w:rPr>
          <w:rFonts w:ascii="Arial" w:eastAsia="新細明體" w:hAnsi="Arial" w:cs="Arial"/>
          <w:color w:val="000000"/>
          <w:szCs w:val="24"/>
        </w:rPr>
        <w:t>:</w:t>
      </w:r>
      <w:r w:rsidRPr="009E02B5">
        <w:rPr>
          <w:rFonts w:ascii="Arial" w:eastAsia="新細明體" w:hAnsi="Arial" w:cs="Arial" w:hint="eastAsia"/>
          <w:color w:val="000000"/>
          <w:szCs w:val="24"/>
        </w:rPr>
        <w:t>百萬元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Unit: Million NT$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科技支出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Technology expenditures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農業管理與發展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Agricultural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漁業管理與發展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Fishery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林業管理與發展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Forestry industry management and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水土保持發展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Water and soil conservation development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農糧發展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Agriculture and food development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防檢疫農業金融及其他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Inspection and quarantine, agricultural finance, and other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老農津貼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Subsidies for elderly farmers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預算總數</w:t>
      </w:r>
      <w:r w:rsidRPr="009E02B5">
        <w:rPr>
          <w:rFonts w:ascii="Arial" w:eastAsia="新細明體" w:hAnsi="Arial" w:cs="Arial"/>
          <w:color w:val="000000"/>
          <w:szCs w:val="24"/>
        </w:rPr>
        <w:t>: Total Budget: NT$106.391 billion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087D071E" wp14:editId="3F86B4C2">
            <wp:simplePos x="0" y="0"/>
            <wp:positionH relativeFrom="column">
              <wp:posOffset>-76201</wp:posOffset>
            </wp:positionH>
            <wp:positionV relativeFrom="paragraph">
              <wp:posOffset>180975</wp:posOffset>
            </wp:positionV>
            <wp:extent cx="5823577" cy="35623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77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 xml:space="preserve">Figure 10: </w:t>
      </w:r>
      <w:r w:rsidRPr="009E02B5">
        <w:rPr>
          <w:rFonts w:ascii="Arial" w:eastAsia="新細明體" w:hAnsi="Arial" w:cs="Arial"/>
          <w:szCs w:val="24"/>
        </w:rPr>
        <w:t>2010 Budgetary expenditure breakdowns for each agency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單位</w:t>
      </w:r>
      <w:r w:rsidRPr="009E02B5">
        <w:rPr>
          <w:rFonts w:ascii="Arial" w:eastAsia="新細明體" w:hAnsi="Arial" w:cs="Arial"/>
          <w:color w:val="000000"/>
          <w:szCs w:val="24"/>
        </w:rPr>
        <w:t>:</w:t>
      </w:r>
      <w:r w:rsidRPr="009E02B5">
        <w:rPr>
          <w:rFonts w:ascii="Arial" w:eastAsia="新細明體" w:hAnsi="Arial" w:cs="Arial" w:hint="eastAsia"/>
          <w:color w:val="000000"/>
          <w:szCs w:val="24"/>
        </w:rPr>
        <w:t>百萬元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Unit: Million NT$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本會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Council of Agriculture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林務局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Forestry Bureau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水土保持局</w:t>
      </w:r>
      <w:r w:rsidRPr="009E02B5">
        <w:rPr>
          <w:rFonts w:ascii="Arial" w:eastAsia="新細明體" w:hAnsi="Arial" w:cs="Arial"/>
          <w:color w:val="000000"/>
          <w:szCs w:val="24"/>
        </w:rPr>
        <w:t>Soil and Water Conservation Bureau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漁業署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Fishery Agency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動植物防疫檢疫局</w:t>
      </w:r>
      <w:proofErr w:type="gramStart"/>
      <w:r w:rsidRPr="009E02B5">
        <w:rPr>
          <w:rFonts w:ascii="Arial" w:eastAsia="新細明體" w:hAnsi="Arial" w:cs="Arial" w:hint="eastAsia"/>
          <w:color w:val="000000"/>
          <w:szCs w:val="24"/>
        </w:rPr>
        <w:t>農糧署</w:t>
      </w:r>
      <w:proofErr w:type="gramEnd"/>
      <w:r w:rsidRPr="009E02B5">
        <w:rPr>
          <w:rFonts w:ascii="Arial" w:eastAsia="新細明體" w:hAnsi="Arial" w:cs="Arial"/>
          <w:color w:val="000000"/>
          <w:szCs w:val="24"/>
        </w:rPr>
        <w:t xml:space="preserve"> Bureau of Animal and Plant Health Inspection and Quarantine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其它所屬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Other affiliated agencies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預算總數</w:t>
      </w:r>
      <w:r w:rsidRPr="009E02B5">
        <w:rPr>
          <w:rFonts w:ascii="Arial" w:eastAsia="新細明體" w:hAnsi="Arial" w:cs="Arial"/>
          <w:color w:val="000000"/>
          <w:szCs w:val="24"/>
        </w:rPr>
        <w:t>: Total Budget: NT$106.391 billion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b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1E09F93B" wp14:editId="7FAB0334">
            <wp:simplePos x="0" y="0"/>
            <wp:positionH relativeFrom="column">
              <wp:posOffset>-47625</wp:posOffset>
            </wp:positionH>
            <wp:positionV relativeFrom="paragraph">
              <wp:posOffset>203200</wp:posOffset>
            </wp:positionV>
            <wp:extent cx="5545349" cy="340995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1" cy="341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>Figure 11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proofErr w:type="gramStart"/>
      <w:r w:rsidRPr="009E02B5">
        <w:rPr>
          <w:rFonts w:ascii="Arial" w:eastAsia="新細明體" w:hAnsi="Arial" w:cs="Arial"/>
          <w:color w:val="000000"/>
          <w:szCs w:val="24"/>
        </w:rPr>
        <w:t>2010</w:t>
      </w:r>
      <w:r w:rsidRPr="009E02B5">
        <w:rPr>
          <w:rFonts w:ascii="Arial" w:eastAsia="新細明體" w:hAnsi="Arial" w:cs="Arial" w:hint="eastAsia"/>
          <w:color w:val="000000"/>
          <w:szCs w:val="24"/>
        </w:rPr>
        <w:t>年度莫拉克</w:t>
      </w:r>
      <w:proofErr w:type="gramEnd"/>
      <w:r w:rsidRPr="009E02B5">
        <w:rPr>
          <w:rFonts w:ascii="Arial" w:eastAsia="新細明體" w:hAnsi="Arial" w:cs="Arial" w:hint="eastAsia"/>
          <w:color w:val="000000"/>
          <w:szCs w:val="24"/>
        </w:rPr>
        <w:t>颱風災後重建特別預算歲出預算主要內容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2010 special budget for post-Typhoon </w:t>
      </w:r>
      <w:proofErr w:type="spellStart"/>
      <w:r w:rsidRPr="009E02B5">
        <w:rPr>
          <w:rFonts w:ascii="Arial" w:eastAsia="新細明體" w:hAnsi="Arial" w:cs="Arial"/>
          <w:color w:val="000000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color w:val="000000"/>
          <w:szCs w:val="24"/>
        </w:rPr>
        <w:t xml:space="preserve"> reconstruction expenditure breakdown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單位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: </w:t>
      </w:r>
      <w:r w:rsidRPr="009E02B5">
        <w:rPr>
          <w:rFonts w:ascii="Arial" w:eastAsia="新細明體" w:hAnsi="Arial" w:cs="Arial" w:hint="eastAsia"/>
          <w:color w:val="000000"/>
          <w:szCs w:val="24"/>
        </w:rPr>
        <w:t>百萬元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Unit: Million NT$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災害應變業務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Disaster response efforts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產業紓困業務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Industry relief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災民救助及安置業務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Assistance and shelter for disaster sufferers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復建業務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Reconstruction projects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預算總數</w:t>
      </w:r>
      <w:r w:rsidRPr="009E02B5">
        <w:rPr>
          <w:rFonts w:ascii="Arial" w:eastAsia="新細明體" w:hAnsi="Arial" w:cs="Arial"/>
          <w:color w:val="000000"/>
          <w:szCs w:val="24"/>
        </w:rPr>
        <w:t>: Total Budget: NT$106.391 billion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5EA6D9A0" wp14:editId="41F7B301">
            <wp:simplePos x="0" y="0"/>
            <wp:positionH relativeFrom="column">
              <wp:posOffset>-285750</wp:posOffset>
            </wp:positionH>
            <wp:positionV relativeFrom="paragraph">
              <wp:posOffset>233131</wp:posOffset>
            </wp:positionV>
            <wp:extent cx="5907713" cy="3619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13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>Figure 12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proofErr w:type="gramStart"/>
      <w:r w:rsidRPr="009E02B5">
        <w:rPr>
          <w:rFonts w:ascii="Arial" w:eastAsia="新細明體" w:hAnsi="Arial" w:cs="Arial"/>
          <w:color w:val="000000"/>
          <w:szCs w:val="24"/>
        </w:rPr>
        <w:t>2010</w:t>
      </w:r>
      <w:r w:rsidRPr="009E02B5">
        <w:rPr>
          <w:rFonts w:ascii="Arial" w:eastAsia="新細明體" w:hAnsi="Arial" w:cs="Arial" w:hint="eastAsia"/>
          <w:color w:val="000000"/>
          <w:szCs w:val="24"/>
        </w:rPr>
        <w:t>年度莫拉克</w:t>
      </w:r>
      <w:proofErr w:type="gramEnd"/>
      <w:r w:rsidRPr="009E02B5">
        <w:rPr>
          <w:rFonts w:ascii="Arial" w:eastAsia="新細明體" w:hAnsi="Arial" w:cs="Arial" w:hint="eastAsia"/>
          <w:color w:val="000000"/>
          <w:szCs w:val="24"/>
        </w:rPr>
        <w:t>颱風災後重建特別預算各機關歲出預算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firstLineChars="0" w:firstLine="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2010 Special budget for post-Typhoon </w:t>
      </w:r>
      <w:proofErr w:type="spellStart"/>
      <w:r w:rsidRPr="009E02B5">
        <w:rPr>
          <w:rFonts w:ascii="Arial" w:eastAsia="新細明體" w:hAnsi="Arial" w:cs="Arial"/>
          <w:color w:val="000000"/>
          <w:szCs w:val="24"/>
        </w:rPr>
        <w:t>Morakot</w:t>
      </w:r>
      <w:proofErr w:type="spellEnd"/>
      <w:r w:rsidRPr="009E02B5">
        <w:rPr>
          <w:rFonts w:ascii="Arial" w:eastAsia="新細明體" w:hAnsi="Arial" w:cs="Arial"/>
          <w:color w:val="000000"/>
          <w:szCs w:val="24"/>
        </w:rPr>
        <w:t xml:space="preserve"> reconstruction expenditure breakdown by agency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單位</w:t>
      </w:r>
      <w:r w:rsidRPr="009E02B5">
        <w:rPr>
          <w:rFonts w:ascii="Arial" w:eastAsia="新細明體" w:hAnsi="Arial" w:cs="Arial"/>
          <w:color w:val="000000"/>
          <w:szCs w:val="24"/>
        </w:rPr>
        <w:t>:</w:t>
      </w:r>
      <w:r w:rsidRPr="009E02B5">
        <w:rPr>
          <w:rFonts w:ascii="Arial" w:eastAsia="新細明體" w:hAnsi="Arial" w:cs="Arial" w:hint="eastAsia"/>
          <w:color w:val="000000"/>
          <w:szCs w:val="24"/>
        </w:rPr>
        <w:t>百萬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Unit: Million NT$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水土保持局</w:t>
      </w:r>
      <w:r w:rsidRPr="009E02B5">
        <w:rPr>
          <w:rFonts w:ascii="Arial" w:eastAsia="新細明體" w:hAnsi="Arial" w:cs="Arial"/>
          <w:color w:val="000000"/>
          <w:szCs w:val="24"/>
        </w:rPr>
        <w:t>Soil and Water Conservation Bureau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漁業署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Fishery Agency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動植物防疫檢疫局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Bureau of Animal and Plant Health Inspection and Quarantine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農業金融局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Bureau of Agricultural Finance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proofErr w:type="gramStart"/>
      <w:r w:rsidRPr="009E02B5">
        <w:rPr>
          <w:rFonts w:ascii="Arial" w:eastAsia="新細明體" w:hAnsi="Arial" w:cs="Arial" w:hint="eastAsia"/>
          <w:color w:val="000000"/>
          <w:szCs w:val="24"/>
        </w:rPr>
        <w:t>農糧署</w:t>
      </w:r>
      <w:proofErr w:type="gramEnd"/>
      <w:r w:rsidRPr="009E02B5">
        <w:rPr>
          <w:rFonts w:ascii="Arial" w:eastAsia="新細明體" w:hAnsi="Arial" w:cs="Arial"/>
          <w:color w:val="000000"/>
          <w:szCs w:val="24"/>
        </w:rPr>
        <w:t xml:space="preserve"> Agriculture and Food Agency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其它所屬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Other affiliated agencies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本會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Council of Agriculture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林務局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Forestry Bureau 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預算總數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: Total Budget: NT$106.391 billion 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1552" behindDoc="1" locked="0" layoutInCell="1" allowOverlap="1" wp14:anchorId="7E253745" wp14:editId="74C64DC5">
            <wp:simplePos x="0" y="0"/>
            <wp:positionH relativeFrom="column">
              <wp:posOffset>-9525</wp:posOffset>
            </wp:positionH>
            <wp:positionV relativeFrom="paragraph">
              <wp:posOffset>180340</wp:posOffset>
            </wp:positionV>
            <wp:extent cx="5602605" cy="343852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>Figure 13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本會主管附屬單位預算</w:t>
      </w:r>
      <w:r w:rsidRPr="009E02B5">
        <w:rPr>
          <w:rFonts w:ascii="Arial" w:eastAsia="新細明體" w:hAnsi="Arial" w:cs="Arial"/>
          <w:color w:val="000000"/>
          <w:szCs w:val="24"/>
        </w:rPr>
        <w:t>2010</w:t>
      </w:r>
      <w:r w:rsidRPr="009E02B5">
        <w:rPr>
          <w:rFonts w:ascii="Arial" w:eastAsia="新細明體" w:hAnsi="Arial" w:cs="Arial" w:hint="eastAsia"/>
          <w:color w:val="000000"/>
          <w:szCs w:val="24"/>
        </w:rPr>
        <w:t>及</w:t>
      </w:r>
      <w:r w:rsidRPr="009E02B5">
        <w:rPr>
          <w:rFonts w:ascii="Arial" w:eastAsia="新細明體" w:hAnsi="Arial" w:cs="Arial"/>
          <w:color w:val="000000"/>
          <w:szCs w:val="24"/>
        </w:rPr>
        <w:t>2009</w:t>
      </w:r>
      <w:r w:rsidRPr="009E02B5">
        <w:rPr>
          <w:rFonts w:ascii="Arial" w:eastAsia="新細明體" w:hAnsi="Arial" w:cs="Arial" w:hint="eastAsia"/>
          <w:color w:val="000000"/>
          <w:szCs w:val="24"/>
        </w:rPr>
        <w:t>年比較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szCs w:val="24"/>
        </w:rPr>
        <w:t>Comparisons between the 2010 and 2009 budgets for the executive and affiliated agencies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2010 budget</w:t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2009 budget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業務總收入</w:t>
      </w:r>
      <w:r w:rsidRPr="009E02B5">
        <w:rPr>
          <w:rFonts w:ascii="Arial" w:eastAsia="新細明體" w:hAnsi="Arial" w:cs="Arial"/>
          <w:szCs w:val="24"/>
        </w:rPr>
        <w:t xml:space="preserve"> Total service income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業務總支出</w:t>
      </w:r>
      <w:r w:rsidRPr="009E02B5">
        <w:rPr>
          <w:rFonts w:ascii="Arial" w:eastAsia="新細明體" w:hAnsi="Arial" w:cs="Arial"/>
          <w:szCs w:val="24"/>
        </w:rPr>
        <w:t xml:space="preserve"> Total service expenditures</w:t>
      </w:r>
    </w:p>
    <w:p w:rsidR="009E02B5" w:rsidRPr="009E02B5" w:rsidRDefault="009E02B5" w:rsidP="009E02B5">
      <w:pPr>
        <w:widowControl w:val="0"/>
        <w:adjustRightInd w:val="0"/>
        <w:snapToGrid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本期短</w:t>
      </w:r>
      <w:proofErr w:type="gramStart"/>
      <w:r w:rsidRPr="009E02B5">
        <w:rPr>
          <w:rFonts w:ascii="Arial" w:eastAsia="新細明體" w:hAnsi="Arial" w:cs="Arial" w:hint="eastAsia"/>
          <w:szCs w:val="24"/>
        </w:rPr>
        <w:t>絀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Budget deficit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b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2D8B7B99" wp14:editId="5B115CCB">
            <wp:simplePos x="0" y="0"/>
            <wp:positionH relativeFrom="column">
              <wp:posOffset>19049</wp:posOffset>
            </wp:positionH>
            <wp:positionV relativeFrom="paragraph">
              <wp:posOffset>209550</wp:posOffset>
            </wp:positionV>
            <wp:extent cx="5710767" cy="3381375"/>
            <wp:effectExtent l="0" t="0" r="4445" b="0"/>
            <wp:wrapNone/>
            <wp:docPr id="14" name="物件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1" w:hangingChars="600" w:hanging="1441"/>
        <w:jc w:val="both"/>
        <w:rPr>
          <w:rFonts w:ascii="Arial" w:eastAsia="新細明體" w:hAnsi="Arial" w:cs="Arial"/>
          <w:b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>Figure 14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農業生產占國內生產毛額比率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 xml:space="preserve">Agricultural products as a percentage of gross domestic </w:t>
      </w:r>
      <w:proofErr w:type="gramStart"/>
      <w:r w:rsidRPr="009E02B5">
        <w:rPr>
          <w:rFonts w:ascii="Arial" w:eastAsia="新細明體" w:hAnsi="Arial" w:cs="Arial"/>
          <w:color w:val="000000"/>
          <w:szCs w:val="24"/>
        </w:rPr>
        <w:t>product</w:t>
      </w:r>
      <w:proofErr w:type="gramEnd"/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農業及相關二三級產業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Agricultural industry and related secondary and tertiary industries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農業生產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Agricultural production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(</w:t>
      </w:r>
      <w:r w:rsidRPr="009E02B5">
        <w:rPr>
          <w:rFonts w:ascii="Arial" w:eastAsia="新細明體" w:hAnsi="Arial" w:cs="Arial" w:hint="eastAsia"/>
          <w:color w:val="000000"/>
          <w:szCs w:val="24"/>
        </w:rPr>
        <w:t>資料來源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: </w:t>
      </w:r>
      <w:r w:rsidRPr="009E02B5">
        <w:rPr>
          <w:rFonts w:ascii="Arial" w:eastAsia="新細明體" w:hAnsi="Arial" w:cs="Arial" w:hint="eastAsia"/>
          <w:color w:val="000000"/>
          <w:szCs w:val="24"/>
        </w:rPr>
        <w:t>農業統計年報</w:t>
      </w:r>
      <w:r w:rsidRPr="009E02B5">
        <w:rPr>
          <w:rFonts w:ascii="Arial" w:eastAsia="新細明體" w:hAnsi="Arial" w:cs="Arial"/>
          <w:color w:val="000000"/>
          <w:szCs w:val="24"/>
        </w:rPr>
        <w:t>) (Source: Agricultural Statistics Yearbook)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69588231" wp14:editId="03878B1D">
            <wp:simplePos x="0" y="0"/>
            <wp:positionH relativeFrom="column">
              <wp:posOffset>-276225</wp:posOffset>
            </wp:positionH>
            <wp:positionV relativeFrom="paragraph">
              <wp:posOffset>120650</wp:posOffset>
            </wp:positionV>
            <wp:extent cx="5843961" cy="31242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61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>Figure 15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我國農業生產總值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Total value of domestic agricultural production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新台幣億元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NT$100 million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民國</w:t>
      </w:r>
      <w:proofErr w:type="gramStart"/>
      <w:r w:rsidRPr="009E02B5">
        <w:rPr>
          <w:rFonts w:ascii="Arial" w:eastAsia="新細明體" w:hAnsi="Arial" w:cs="Arial"/>
          <w:color w:val="FF0000"/>
          <w:szCs w:val="24"/>
        </w:rPr>
        <w:t>98</w:t>
      </w:r>
      <w:r w:rsidRPr="009E02B5">
        <w:rPr>
          <w:rFonts w:ascii="Arial" w:eastAsia="新細明體" w:hAnsi="Arial" w:cs="Arial" w:hint="eastAsia"/>
          <w:color w:val="FF0000"/>
          <w:szCs w:val="24"/>
        </w:rPr>
        <w:t>年</w:t>
      </w:r>
      <w:r w:rsidRPr="009E02B5">
        <w:rPr>
          <w:rFonts w:ascii="Arial" w:eastAsia="新細明體" w:hAnsi="Arial" w:cs="Arial" w:hint="eastAsia"/>
          <w:color w:val="000000"/>
          <w:szCs w:val="24"/>
        </w:rPr>
        <w:t>林漁牧業</w:t>
      </w:r>
      <w:proofErr w:type="gramEnd"/>
      <w:r w:rsidRPr="009E02B5">
        <w:rPr>
          <w:rFonts w:ascii="Arial" w:eastAsia="新細明體" w:hAnsi="Arial" w:cs="Arial" w:hint="eastAsia"/>
          <w:color w:val="000000"/>
          <w:szCs w:val="24"/>
        </w:rPr>
        <w:t>生產結構比</w:t>
      </w:r>
      <w:r w:rsidRPr="009E02B5">
        <w:rPr>
          <w:rFonts w:ascii="Arial" w:eastAsia="新細明體" w:hAnsi="Arial" w:cs="Arial"/>
          <w:color w:val="000000"/>
          <w:szCs w:val="24"/>
        </w:rPr>
        <w:t>(</w:t>
      </w:r>
      <w:r w:rsidRPr="009E02B5">
        <w:rPr>
          <w:rFonts w:ascii="Arial" w:eastAsia="新細明體" w:hAnsi="Arial" w:cs="Arial" w:hint="eastAsia"/>
          <w:color w:val="000000"/>
          <w:szCs w:val="24"/>
        </w:rPr>
        <w:t>估計</w:t>
      </w:r>
      <w:r w:rsidRPr="009E02B5">
        <w:rPr>
          <w:rFonts w:ascii="Arial" w:eastAsia="新細明體" w:hAnsi="Arial" w:cs="Arial"/>
          <w:color w:val="000000"/>
          <w:szCs w:val="24"/>
        </w:rPr>
        <w:t>)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FF0000"/>
          <w:szCs w:val="24"/>
        </w:rPr>
        <w:t>2009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Agricultural industry production breakdown (estimated)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水產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Fishery production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林產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Forestry production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農產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</w:t>
      </w:r>
      <w:r w:rsidRPr="009E02B5">
        <w:rPr>
          <w:rFonts w:ascii="Arial" w:eastAsia="新細明體" w:hAnsi="Arial" w:cs="Arial"/>
          <w:color w:val="FF0000"/>
          <w:szCs w:val="24"/>
        </w:rPr>
        <w:t>Crops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production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畜產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Livestock production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(</w:t>
      </w:r>
      <w:r w:rsidRPr="009E02B5">
        <w:rPr>
          <w:rFonts w:ascii="Arial" w:eastAsia="新細明體" w:hAnsi="Arial" w:cs="Arial" w:hint="eastAsia"/>
          <w:color w:val="000000"/>
          <w:szCs w:val="24"/>
        </w:rPr>
        <w:t>資料來源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: </w:t>
      </w:r>
      <w:r w:rsidRPr="009E02B5">
        <w:rPr>
          <w:rFonts w:ascii="Arial" w:eastAsia="新細明體" w:hAnsi="Arial" w:cs="Arial" w:hint="eastAsia"/>
          <w:color w:val="000000"/>
          <w:szCs w:val="24"/>
        </w:rPr>
        <w:t>農業統計年報</w:t>
      </w:r>
      <w:r w:rsidRPr="009E02B5">
        <w:rPr>
          <w:rFonts w:ascii="Arial" w:eastAsia="新細明體" w:hAnsi="Arial" w:cs="Arial"/>
          <w:color w:val="000000"/>
          <w:szCs w:val="24"/>
        </w:rPr>
        <w:t>) (Source: Agricultural Statistics Yearbook)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4624" behindDoc="1" locked="0" layoutInCell="1" allowOverlap="1" wp14:anchorId="1B60FB8F" wp14:editId="729F65A0">
            <wp:simplePos x="0" y="0"/>
            <wp:positionH relativeFrom="column">
              <wp:posOffset>0</wp:posOffset>
            </wp:positionH>
            <wp:positionV relativeFrom="paragraph">
              <wp:posOffset>206374</wp:posOffset>
            </wp:positionV>
            <wp:extent cx="5724716" cy="3533775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16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color w:val="000000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color w:val="000000"/>
          <w:szCs w:val="24"/>
        </w:rPr>
      </w:pPr>
      <w:r>
        <w:rPr>
          <w:rFonts w:ascii="Arial" w:eastAsia="新細明體" w:hAnsi="Arial" w:cs="Arial"/>
          <w:color w:val="000000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Times New Roman" w:eastAsia="新細明體" w:hAnsi="Times New Roman" w:cs="Times New Roman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lastRenderedPageBreak/>
        <w:t xml:space="preserve">Figure 16: </w:t>
      </w:r>
      <w:r w:rsidRPr="009E02B5">
        <w:rPr>
          <w:rFonts w:ascii="Times New Roman" w:eastAsia="新細明體" w:hAnsi="Times New Roman" w:cs="Times New Roman"/>
          <w:szCs w:val="24"/>
        </w:rPr>
        <w:t>Price trends for important agricultural products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元</w:t>
      </w:r>
      <w:r w:rsidRPr="009E02B5">
        <w:rPr>
          <w:rFonts w:ascii="Arial" w:eastAsia="新細明體" w:hAnsi="Arial" w:cs="Arial"/>
          <w:color w:val="000000"/>
          <w:szCs w:val="24"/>
        </w:rPr>
        <w:t>/</w:t>
      </w:r>
      <w:r w:rsidRPr="009E02B5">
        <w:rPr>
          <w:rFonts w:ascii="Arial" w:eastAsia="新細明體" w:hAnsi="Arial" w:cs="Arial" w:hint="eastAsia"/>
          <w:color w:val="000000"/>
          <w:szCs w:val="24"/>
        </w:rPr>
        <w:t>公斤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NT$/kilogram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/>
          <w:color w:val="000000"/>
          <w:szCs w:val="24"/>
        </w:rPr>
        <w:t>(</w:t>
      </w:r>
      <w:r w:rsidRPr="009E02B5">
        <w:rPr>
          <w:rFonts w:ascii="Arial" w:eastAsia="新細明體" w:hAnsi="Arial" w:cs="Arial" w:hint="eastAsia"/>
          <w:color w:val="000000"/>
          <w:szCs w:val="24"/>
        </w:rPr>
        <w:t>資料來源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: </w:t>
      </w:r>
      <w:r w:rsidRPr="009E02B5">
        <w:rPr>
          <w:rFonts w:ascii="Arial" w:eastAsia="新細明體" w:hAnsi="Arial" w:cs="Arial" w:hint="eastAsia"/>
          <w:color w:val="000000"/>
          <w:szCs w:val="24"/>
        </w:rPr>
        <w:t>農業統計年報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Agricultural Statistics Yearbook)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蓬萊稻穀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Japonica rice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香蕉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banana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proofErr w:type="gramStart"/>
      <w:r w:rsidRPr="009E02B5">
        <w:rPr>
          <w:rFonts w:ascii="Arial" w:eastAsia="新細明體" w:hAnsi="Arial" w:cs="Arial" w:hint="eastAsia"/>
          <w:color w:val="000000"/>
          <w:szCs w:val="24"/>
        </w:rPr>
        <w:t>椪</w:t>
      </w:r>
      <w:proofErr w:type="gramEnd"/>
      <w:r w:rsidRPr="009E02B5">
        <w:rPr>
          <w:rFonts w:ascii="Arial" w:eastAsia="新細明體" w:hAnsi="Arial" w:cs="Arial" w:hint="eastAsia"/>
          <w:color w:val="000000"/>
          <w:szCs w:val="24"/>
        </w:rPr>
        <w:t>柑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</w:t>
      </w:r>
      <w:proofErr w:type="spellStart"/>
      <w:r w:rsidRPr="009E02B5">
        <w:rPr>
          <w:rFonts w:ascii="Arial" w:eastAsia="新細明體" w:hAnsi="Arial" w:cs="Arial"/>
          <w:color w:val="000000"/>
          <w:szCs w:val="24"/>
        </w:rPr>
        <w:t>pengkan</w:t>
      </w:r>
      <w:proofErr w:type="spellEnd"/>
      <w:r w:rsidRPr="009E02B5">
        <w:rPr>
          <w:rFonts w:ascii="Arial" w:eastAsia="新細明體" w:hAnsi="Arial" w:cs="Arial"/>
          <w:color w:val="000000"/>
          <w:szCs w:val="24"/>
        </w:rPr>
        <w:t xml:space="preserve">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甘藍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cabbage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毛豬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pork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肉雞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broiler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黃鰭</w:t>
      </w:r>
      <w:proofErr w:type="gramStart"/>
      <w:r w:rsidRPr="009E02B5">
        <w:rPr>
          <w:rFonts w:ascii="Arial" w:eastAsia="新細明體" w:hAnsi="Arial" w:cs="Arial" w:hint="eastAsia"/>
          <w:szCs w:val="24"/>
        </w:rPr>
        <w:t>鮪</w:t>
      </w:r>
      <w:proofErr w:type="gramEnd"/>
      <w:r w:rsidRPr="009E02B5">
        <w:rPr>
          <w:rFonts w:ascii="Arial" w:eastAsia="新細明體" w:hAnsi="Arial" w:cs="Arial"/>
          <w:szCs w:val="24"/>
        </w:rPr>
        <w:t>yellow-fin tuna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5648" behindDoc="1" locked="0" layoutInCell="1" allowOverlap="1" wp14:anchorId="09ECB5F9" wp14:editId="590DD57E">
            <wp:simplePos x="0" y="0"/>
            <wp:positionH relativeFrom="column">
              <wp:posOffset>9525</wp:posOffset>
            </wp:positionH>
            <wp:positionV relativeFrom="paragraph">
              <wp:posOffset>107950</wp:posOffset>
            </wp:positionV>
            <wp:extent cx="5838568" cy="360045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68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szCs w:val="24"/>
        </w:rPr>
      </w:pPr>
      <w:r>
        <w:rPr>
          <w:rFonts w:ascii="Arial" w:eastAsia="新細明體" w:hAnsi="Arial" w:cs="Arial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lastRenderedPageBreak/>
        <w:t>Figure 17: Agriculture industry scope and production volume in 2008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公頃</w:t>
      </w:r>
      <w:r w:rsidRPr="009E02B5">
        <w:rPr>
          <w:rFonts w:ascii="Arial" w:eastAsia="新細明體" w:hAnsi="Arial" w:cs="Arial"/>
          <w:szCs w:val="24"/>
        </w:rPr>
        <w:t xml:space="preserve"> hectare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新台幣百萬元</w:t>
      </w:r>
      <w:r w:rsidRPr="009E02B5">
        <w:rPr>
          <w:rFonts w:ascii="Arial" w:eastAsia="新細明體" w:hAnsi="Arial" w:cs="Arial"/>
          <w:szCs w:val="24"/>
        </w:rPr>
        <w:t xml:space="preserve"> NT$ million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稻米</w:t>
      </w:r>
      <w:r w:rsidRPr="009E02B5">
        <w:rPr>
          <w:rFonts w:ascii="Arial" w:eastAsia="新細明體" w:hAnsi="Arial" w:cs="Arial"/>
          <w:szCs w:val="24"/>
        </w:rPr>
        <w:t xml:space="preserve"> rice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proofErr w:type="gramStart"/>
      <w:r w:rsidRPr="009E02B5">
        <w:rPr>
          <w:rFonts w:ascii="Arial" w:eastAsia="新細明體" w:hAnsi="Arial" w:cs="Arial" w:hint="eastAsia"/>
          <w:szCs w:val="24"/>
        </w:rPr>
        <w:t>莖菜類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 stem vegetables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檳榔</w:t>
      </w:r>
      <w:r w:rsidRPr="009E02B5">
        <w:rPr>
          <w:rFonts w:ascii="Arial" w:eastAsia="新細明體" w:hAnsi="Arial" w:cs="Arial"/>
          <w:szCs w:val="24"/>
        </w:rPr>
        <w:t xml:space="preserve"> betel nut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葉菜類</w:t>
      </w:r>
      <w:r w:rsidRPr="009E02B5">
        <w:rPr>
          <w:rFonts w:ascii="Arial" w:eastAsia="新細明體" w:hAnsi="Arial" w:cs="Arial"/>
          <w:szCs w:val="24"/>
        </w:rPr>
        <w:t xml:space="preserve"> leafy vegetables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果菜類</w:t>
      </w:r>
      <w:r w:rsidRPr="009E02B5">
        <w:rPr>
          <w:rFonts w:ascii="Arial" w:eastAsia="新細明體" w:hAnsi="Arial" w:cs="Arial"/>
          <w:szCs w:val="24"/>
        </w:rPr>
        <w:t xml:space="preserve"> fruits and vegetables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color w:val="000000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柑桔類</w:t>
      </w:r>
      <w:r w:rsidRPr="009E02B5">
        <w:rPr>
          <w:rFonts w:ascii="Arial" w:eastAsia="新細明體" w:hAnsi="Arial" w:cs="Arial"/>
          <w:color w:val="000000"/>
          <w:szCs w:val="24"/>
        </w:rPr>
        <w:t xml:space="preserve"> citrus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color w:val="000000"/>
          <w:szCs w:val="24"/>
        </w:rPr>
        <w:t>芒</w:t>
      </w:r>
      <w:r w:rsidRPr="009E02B5">
        <w:rPr>
          <w:rFonts w:ascii="Arial" w:eastAsia="新細明體" w:hAnsi="Arial" w:cs="Arial" w:hint="eastAsia"/>
          <w:szCs w:val="24"/>
        </w:rPr>
        <w:t>果</w:t>
      </w:r>
      <w:r w:rsidRPr="009E02B5">
        <w:rPr>
          <w:rFonts w:ascii="Arial" w:eastAsia="新細明體" w:hAnsi="Arial" w:cs="Arial"/>
          <w:szCs w:val="24"/>
        </w:rPr>
        <w:t xml:space="preserve"> mango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花卉</w:t>
      </w:r>
      <w:r w:rsidRPr="009E02B5">
        <w:rPr>
          <w:rFonts w:ascii="Arial" w:eastAsia="新細明體" w:hAnsi="Arial" w:cs="Arial"/>
          <w:szCs w:val="24"/>
        </w:rPr>
        <w:t xml:space="preserve"> ornamental plants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鳳梨</w:t>
      </w:r>
      <w:r w:rsidRPr="009E02B5">
        <w:rPr>
          <w:rFonts w:ascii="Arial" w:eastAsia="新細明體" w:hAnsi="Arial" w:cs="Arial"/>
          <w:szCs w:val="24"/>
        </w:rPr>
        <w:t xml:space="preserve"> pineapple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豬</w:t>
      </w:r>
      <w:r w:rsidRPr="009E02B5">
        <w:rPr>
          <w:rFonts w:ascii="Arial" w:eastAsia="新細明體" w:hAnsi="Arial" w:cs="Arial"/>
          <w:szCs w:val="24"/>
        </w:rPr>
        <w:t xml:space="preserve"> pork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雞</w:t>
      </w:r>
      <w:r w:rsidRPr="009E02B5">
        <w:rPr>
          <w:rFonts w:ascii="Arial" w:eastAsia="新細明體" w:hAnsi="Arial" w:cs="Arial"/>
          <w:szCs w:val="24"/>
        </w:rPr>
        <w:t xml:space="preserve"> chicken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proofErr w:type="gramStart"/>
      <w:r w:rsidRPr="009E02B5">
        <w:rPr>
          <w:rFonts w:ascii="Arial" w:eastAsia="新細明體" w:hAnsi="Arial" w:cs="Arial" w:hint="eastAsia"/>
          <w:szCs w:val="24"/>
        </w:rPr>
        <w:t>鮪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tuna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雞蛋</w:t>
      </w:r>
      <w:r w:rsidRPr="009E02B5">
        <w:rPr>
          <w:rFonts w:ascii="Arial" w:eastAsia="新細明體" w:hAnsi="Arial" w:cs="Arial"/>
          <w:szCs w:val="24"/>
        </w:rPr>
        <w:t xml:space="preserve"> chicken eggs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proofErr w:type="gramStart"/>
      <w:r w:rsidRPr="009E02B5">
        <w:rPr>
          <w:rFonts w:ascii="Arial" w:eastAsia="新細明體" w:hAnsi="Arial" w:cs="Arial" w:hint="eastAsia"/>
          <w:szCs w:val="24"/>
        </w:rPr>
        <w:t>鰹</w:t>
      </w:r>
      <w:proofErr w:type="gramEnd"/>
      <w:r w:rsidRPr="009E02B5">
        <w:rPr>
          <w:rFonts w:ascii="Arial" w:eastAsia="新細明體" w:hAnsi="Arial" w:cs="Arial" w:hint="eastAsia"/>
          <w:szCs w:val="24"/>
        </w:rPr>
        <w:t>魚</w:t>
      </w:r>
      <w:r w:rsidRPr="009E02B5">
        <w:rPr>
          <w:rFonts w:ascii="Arial" w:eastAsia="新細明體" w:hAnsi="Arial" w:cs="Arial"/>
          <w:szCs w:val="24"/>
        </w:rPr>
        <w:t xml:space="preserve"> skipjacks 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6672" behindDoc="1" locked="0" layoutInCell="1" allowOverlap="1" wp14:anchorId="70F93490" wp14:editId="23625F7E">
            <wp:simplePos x="0" y="0"/>
            <wp:positionH relativeFrom="column">
              <wp:posOffset>-295275</wp:posOffset>
            </wp:positionH>
            <wp:positionV relativeFrom="paragraph">
              <wp:posOffset>139700</wp:posOffset>
            </wp:positionV>
            <wp:extent cx="6222224" cy="38481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42" cy="384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szCs w:val="24"/>
        </w:rPr>
      </w:pPr>
      <w:r>
        <w:rPr>
          <w:rFonts w:ascii="Arial" w:eastAsia="新細明體" w:hAnsi="Arial" w:cs="Arial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lastRenderedPageBreak/>
        <w:t>Figure 18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我國農產品進出口值</w:t>
      </w:r>
      <w:r w:rsidRPr="009E02B5">
        <w:rPr>
          <w:rFonts w:ascii="Arial" w:eastAsia="新細明體" w:hAnsi="Arial" w:cs="Arial"/>
          <w:szCs w:val="24"/>
        </w:rPr>
        <w:t xml:space="preserve">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jc w:val="both"/>
        <w:rPr>
          <w:rFonts w:ascii="Arial" w:eastAsia="細明體" w:hAnsi="Arial" w:cs="Arial"/>
          <w:szCs w:val="20"/>
        </w:rPr>
      </w:pPr>
      <w:r w:rsidRPr="009E02B5">
        <w:rPr>
          <w:rFonts w:ascii="Arial" w:eastAsia="細明體" w:hAnsi="Arial" w:cs="Arial"/>
          <w:szCs w:val="20"/>
        </w:rPr>
        <w:t>Value of Taiwanese agricultural imports and exports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千萬美元</w:t>
      </w:r>
      <w:r w:rsidRPr="009E02B5">
        <w:rPr>
          <w:rFonts w:ascii="Arial" w:eastAsia="新細明體" w:hAnsi="Arial" w:cs="Arial"/>
          <w:szCs w:val="24"/>
        </w:rPr>
        <w:t xml:space="preserve"> US$10 million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出口值</w:t>
      </w:r>
      <w:r w:rsidRPr="009E02B5">
        <w:rPr>
          <w:rFonts w:ascii="Arial" w:eastAsia="新細明體" w:hAnsi="Arial" w:cs="Arial"/>
          <w:szCs w:val="24"/>
        </w:rPr>
        <w:t xml:space="preserve"> Value of Exports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進口值</w:t>
      </w:r>
      <w:r w:rsidRPr="009E02B5">
        <w:rPr>
          <w:rFonts w:ascii="Arial" w:eastAsia="新細明體" w:hAnsi="Arial" w:cs="Arial"/>
          <w:szCs w:val="24"/>
        </w:rPr>
        <w:t xml:space="preserve"> Value of Imports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進出口值</w:t>
      </w:r>
      <w:r w:rsidRPr="009E02B5">
        <w:rPr>
          <w:rFonts w:ascii="Arial" w:eastAsia="新細明體" w:hAnsi="Arial" w:cs="Arial"/>
          <w:szCs w:val="24"/>
        </w:rPr>
        <w:t xml:space="preserve"> Value of Imports and Exports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貿易逆差</w:t>
      </w:r>
      <w:r w:rsidRPr="009E02B5">
        <w:rPr>
          <w:rFonts w:ascii="Arial" w:eastAsia="新細明體" w:hAnsi="Arial" w:cs="Arial"/>
          <w:szCs w:val="24"/>
        </w:rPr>
        <w:t xml:space="preserve"> Trade Deficit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資料來源</w:t>
      </w:r>
      <w:r w:rsidRPr="009E02B5">
        <w:rPr>
          <w:rFonts w:ascii="Arial" w:eastAsia="新細明體" w:hAnsi="Arial" w:cs="Arial"/>
          <w:szCs w:val="24"/>
        </w:rPr>
        <w:t xml:space="preserve">: </w:t>
      </w:r>
      <w:r w:rsidRPr="009E02B5">
        <w:rPr>
          <w:rFonts w:ascii="Arial" w:eastAsia="新細明體" w:hAnsi="Arial" w:cs="Arial" w:hint="eastAsia"/>
          <w:szCs w:val="24"/>
        </w:rPr>
        <w:t>農產貿易統計要</w:t>
      </w:r>
      <w:proofErr w:type="gramStart"/>
      <w:r w:rsidRPr="009E02B5">
        <w:rPr>
          <w:rFonts w:ascii="Arial" w:eastAsia="新細明體" w:hAnsi="Arial" w:cs="Arial" w:hint="eastAsia"/>
          <w:szCs w:val="24"/>
        </w:rPr>
        <w:t>覽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Source: </w:t>
      </w:r>
      <w:proofErr w:type="gramStart"/>
      <w:r w:rsidRPr="009E02B5">
        <w:rPr>
          <w:rFonts w:ascii="Arial" w:eastAsia="新細明體" w:hAnsi="Arial" w:cs="Arial"/>
          <w:szCs w:val="24"/>
        </w:rPr>
        <w:t>Agricultural trade statistics of R.O.C.</w:t>
      </w:r>
      <w:proofErr w:type="gramEnd"/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0FF61CE6" wp14:editId="6FBF58E7">
            <wp:simplePos x="0" y="0"/>
            <wp:positionH relativeFrom="column">
              <wp:posOffset>-76200</wp:posOffset>
            </wp:positionH>
            <wp:positionV relativeFrom="paragraph">
              <wp:posOffset>219075</wp:posOffset>
            </wp:positionV>
            <wp:extent cx="5821937" cy="360045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44" cy="360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szCs w:val="24"/>
        </w:rPr>
      </w:pPr>
      <w:r>
        <w:rPr>
          <w:rFonts w:ascii="Arial" w:eastAsia="新細明體" w:hAnsi="Arial" w:cs="Arial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Times New Roman" w:eastAsia="新細明體" w:hAnsi="Times New Roman" w:cs="Times New Roman"/>
          <w:szCs w:val="24"/>
        </w:rPr>
      </w:pPr>
      <w:r w:rsidRPr="009E02B5">
        <w:rPr>
          <w:rFonts w:ascii="Arial" w:eastAsia="新細明體" w:hAnsi="Arial" w:cs="Arial"/>
          <w:szCs w:val="24"/>
        </w:rPr>
        <w:lastRenderedPageBreak/>
        <w:t xml:space="preserve">Figure 19: </w:t>
      </w:r>
      <w:r w:rsidRPr="009E02B5">
        <w:rPr>
          <w:rFonts w:ascii="Times New Roman" w:eastAsia="新細明體" w:hAnsi="Times New Roman" w:cs="Times New Roman"/>
          <w:szCs w:val="24"/>
        </w:rPr>
        <w:t xml:space="preserve">Ratio of Taiwanese agricultural imports and exports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出口占總出口比率</w:t>
      </w:r>
      <w:r w:rsidRPr="009E02B5">
        <w:rPr>
          <w:rFonts w:ascii="Arial" w:eastAsia="新細明體" w:hAnsi="Arial" w:cs="Arial"/>
          <w:szCs w:val="24"/>
        </w:rPr>
        <w:t xml:space="preserve"> Ratio of agricultural exports to total exports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進口占總進口比率</w:t>
      </w:r>
      <w:r w:rsidRPr="009E02B5">
        <w:rPr>
          <w:rFonts w:ascii="Arial" w:eastAsia="新細明體" w:hAnsi="Arial" w:cs="Arial"/>
          <w:szCs w:val="24"/>
        </w:rPr>
        <w:t xml:space="preserve"> Ratio of agricultural imports to total imports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資料來源</w:t>
      </w:r>
      <w:r w:rsidRPr="009E02B5">
        <w:rPr>
          <w:rFonts w:ascii="Arial" w:eastAsia="新細明體" w:hAnsi="Arial" w:cs="Arial"/>
          <w:szCs w:val="24"/>
        </w:rPr>
        <w:t xml:space="preserve">: </w:t>
      </w:r>
      <w:r w:rsidRPr="009E02B5">
        <w:rPr>
          <w:rFonts w:ascii="Arial" w:eastAsia="新細明體" w:hAnsi="Arial" w:cs="Arial" w:hint="eastAsia"/>
          <w:szCs w:val="24"/>
        </w:rPr>
        <w:t>農產貿易統計要</w:t>
      </w:r>
      <w:proofErr w:type="gramStart"/>
      <w:r w:rsidRPr="009E02B5">
        <w:rPr>
          <w:rFonts w:ascii="Arial" w:eastAsia="新細明體" w:hAnsi="Arial" w:cs="Arial" w:hint="eastAsia"/>
          <w:szCs w:val="24"/>
        </w:rPr>
        <w:t>覽</w:t>
      </w:r>
      <w:proofErr w:type="gramEnd"/>
      <w:r w:rsidRPr="009E02B5">
        <w:rPr>
          <w:rFonts w:ascii="Arial" w:eastAsia="新細明體" w:hAnsi="Arial" w:cs="Arial"/>
          <w:szCs w:val="24"/>
        </w:rPr>
        <w:t xml:space="preserve"> Source: </w:t>
      </w:r>
      <w:proofErr w:type="gramStart"/>
      <w:r w:rsidRPr="009E02B5">
        <w:rPr>
          <w:rFonts w:ascii="Arial" w:eastAsia="新細明體" w:hAnsi="Arial" w:cs="Arial"/>
          <w:szCs w:val="24"/>
        </w:rPr>
        <w:t>Agricultural trade statistics of R.O.C.</w:t>
      </w:r>
      <w:proofErr w:type="gramEnd"/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8720" behindDoc="1" locked="0" layoutInCell="1" allowOverlap="1" wp14:anchorId="78E704E2" wp14:editId="51B35227">
            <wp:simplePos x="0" y="0"/>
            <wp:positionH relativeFrom="column">
              <wp:posOffset>-190500</wp:posOffset>
            </wp:positionH>
            <wp:positionV relativeFrom="paragraph">
              <wp:posOffset>212724</wp:posOffset>
            </wp:positionV>
            <wp:extent cx="5761338" cy="355282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38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szCs w:val="24"/>
        </w:rPr>
      </w:pPr>
      <w:r>
        <w:rPr>
          <w:rFonts w:ascii="Arial" w:eastAsia="新細明體" w:hAnsi="Arial" w:cs="Arial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lastRenderedPageBreak/>
        <w:t>Figure 20: Changes in income for agricultural and non-agricultural households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農家所得</w:t>
      </w:r>
      <w:r w:rsidRPr="009E02B5">
        <w:rPr>
          <w:rFonts w:ascii="Arial" w:eastAsia="新細明體" w:hAnsi="Arial" w:cs="Arial"/>
          <w:szCs w:val="24"/>
        </w:rPr>
        <w:t xml:space="preserve"> Farm Family Income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非農家所得</w:t>
      </w:r>
      <w:r w:rsidRPr="009E02B5">
        <w:rPr>
          <w:rFonts w:ascii="Arial" w:eastAsia="新細明體" w:hAnsi="Arial" w:cs="Arial"/>
          <w:szCs w:val="24"/>
        </w:rPr>
        <w:t xml:space="preserve"> Non- farm Family Income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農家</w:t>
      </w:r>
      <w:r w:rsidRPr="009E02B5">
        <w:rPr>
          <w:rFonts w:ascii="Arial" w:eastAsia="新細明體" w:hAnsi="Arial" w:cs="Arial"/>
          <w:szCs w:val="24"/>
        </w:rPr>
        <w:t>/</w:t>
      </w:r>
      <w:r w:rsidRPr="009E02B5">
        <w:rPr>
          <w:rFonts w:ascii="Arial" w:eastAsia="新細明體" w:hAnsi="Arial" w:cs="Arial" w:hint="eastAsia"/>
          <w:szCs w:val="24"/>
        </w:rPr>
        <w:t>非農家</w:t>
      </w:r>
      <w:r w:rsidRPr="009E02B5">
        <w:rPr>
          <w:rFonts w:ascii="Arial" w:eastAsia="新細明體" w:hAnsi="Arial" w:cs="Arial"/>
          <w:szCs w:val="24"/>
        </w:rPr>
        <w:t xml:space="preserve"> Farm / Non- farm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新台幣萬元</w:t>
      </w:r>
      <w:r w:rsidRPr="009E02B5">
        <w:rPr>
          <w:rFonts w:ascii="Arial" w:eastAsia="新細明體" w:hAnsi="Arial" w:cs="Arial"/>
          <w:szCs w:val="24"/>
        </w:rPr>
        <w:t xml:space="preserve"> NT$10,000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資料來源</w:t>
      </w:r>
      <w:r w:rsidRPr="009E02B5">
        <w:rPr>
          <w:rFonts w:ascii="Arial" w:eastAsia="新細明體" w:hAnsi="Arial" w:cs="Arial"/>
          <w:szCs w:val="24"/>
        </w:rPr>
        <w:t xml:space="preserve">: </w:t>
      </w:r>
      <w:r w:rsidRPr="009E02B5">
        <w:rPr>
          <w:rFonts w:ascii="Arial" w:eastAsia="新細明體" w:hAnsi="Arial" w:cs="Arial" w:hint="eastAsia"/>
          <w:szCs w:val="24"/>
        </w:rPr>
        <w:t>台灣地區家庭收支調查年報</w:t>
      </w:r>
      <w:r w:rsidRPr="009E02B5">
        <w:rPr>
          <w:rFonts w:ascii="Arial" w:eastAsia="新細明體" w:hAnsi="Arial" w:cs="Arial"/>
          <w:szCs w:val="24"/>
        </w:rPr>
        <w:t xml:space="preserve"> 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Source: Report on the Survey of Family Income and Expenditure in Taiwan Area of R.O.C.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6A354612" wp14:editId="18CE1787">
            <wp:simplePos x="0" y="0"/>
            <wp:positionH relativeFrom="column">
              <wp:posOffset>-257175</wp:posOffset>
            </wp:positionH>
            <wp:positionV relativeFrom="paragraph">
              <wp:posOffset>66675</wp:posOffset>
            </wp:positionV>
            <wp:extent cx="5874151" cy="386715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51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Default="009E02B5" w:rsidP="009E02B5">
      <w:pPr>
        <w:spacing w:before="180"/>
        <w:ind w:firstLine="480"/>
        <w:rPr>
          <w:rFonts w:ascii="Arial" w:eastAsia="新細明體" w:hAnsi="Arial" w:cs="Arial"/>
          <w:szCs w:val="24"/>
        </w:rPr>
      </w:pPr>
      <w:r>
        <w:rPr>
          <w:rFonts w:ascii="Arial" w:eastAsia="新細明體" w:hAnsi="Arial" w:cs="Arial"/>
          <w:szCs w:val="24"/>
        </w:rPr>
        <w:br w:type="page"/>
      </w:r>
    </w:p>
    <w:p w:rsidR="009E02B5" w:rsidRPr="009E02B5" w:rsidRDefault="009E02B5" w:rsidP="009E02B5">
      <w:pPr>
        <w:widowControl w:val="0"/>
        <w:tabs>
          <w:tab w:val="left" w:pos="3010"/>
        </w:tabs>
        <w:snapToGrid w:val="0"/>
        <w:spacing w:beforeLines="0" w:before="0" w:line="400" w:lineRule="exact"/>
        <w:ind w:left="1440" w:hangingChars="600" w:hanging="1440"/>
        <w:jc w:val="both"/>
        <w:rPr>
          <w:rFonts w:ascii="Times New Roman" w:eastAsia="新細明體" w:hAnsi="Times New Roman" w:cs="Times New Roman"/>
          <w:szCs w:val="24"/>
        </w:rPr>
      </w:pPr>
      <w:r w:rsidRPr="009E02B5">
        <w:rPr>
          <w:rFonts w:ascii="Arial" w:eastAsia="新細明體" w:hAnsi="Arial" w:cs="Arial"/>
          <w:szCs w:val="24"/>
        </w:rPr>
        <w:lastRenderedPageBreak/>
        <w:t xml:space="preserve">Figure 21: </w:t>
      </w:r>
      <w:r w:rsidRPr="009E02B5">
        <w:rPr>
          <w:rFonts w:ascii="Times New Roman" w:eastAsia="新細明體" w:hAnsi="Times New Roman" w:cs="Times New Roman"/>
          <w:szCs w:val="24"/>
        </w:rPr>
        <w:t xml:space="preserve">Changes in Dietary calorie production capacity per person </w:t>
      </w:r>
      <w:r w:rsidRPr="009E02B5">
        <w:rPr>
          <w:rFonts w:ascii="Times New Roman" w:eastAsia="SimSun" w:hAnsi="Times New Roman" w:cs="Times New Roman"/>
          <w:szCs w:val="24"/>
          <w:lang w:eastAsia="zh-CN"/>
        </w:rPr>
        <w:t>p</w:t>
      </w:r>
      <w:r w:rsidRPr="009E02B5">
        <w:rPr>
          <w:rFonts w:ascii="Times New Roman" w:eastAsia="新細明體" w:hAnsi="Times New Roman" w:cs="Times New Roman"/>
          <w:szCs w:val="24"/>
        </w:rPr>
        <w:t>er day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 w:hint="eastAsia"/>
          <w:szCs w:val="24"/>
        </w:rPr>
        <w:t>大卡</w:t>
      </w:r>
      <w:r w:rsidRPr="009E02B5">
        <w:rPr>
          <w:rFonts w:ascii="Arial" w:eastAsia="新細明體" w:hAnsi="Arial" w:cs="Arial"/>
          <w:szCs w:val="24"/>
        </w:rPr>
        <w:t xml:space="preserve"> = Calories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Others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Fishery Products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Granulated Sugar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Edible Seeds and Oilseeds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Wheat Flour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Livestock Products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Oils and Fats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White Rice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Arial" w:eastAsia="新細明體" w:hAnsi="Arial" w:cs="Arial"/>
          <w:szCs w:val="24"/>
        </w:rPr>
        <w:t>(Source: Food Supply and Utilization Yearbook)</w:t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  <w:r w:rsidRPr="009E02B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13C5F8F0" wp14:editId="2CEBDB77">
            <wp:simplePos x="0" y="0"/>
            <wp:positionH relativeFrom="column">
              <wp:posOffset>-447675</wp:posOffset>
            </wp:positionH>
            <wp:positionV relativeFrom="paragraph">
              <wp:posOffset>47625</wp:posOffset>
            </wp:positionV>
            <wp:extent cx="6301946" cy="388620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46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9E02B5" w:rsidRPr="009E02B5" w:rsidRDefault="009E02B5" w:rsidP="009E02B5">
      <w:pPr>
        <w:widowControl w:val="0"/>
        <w:spacing w:beforeLines="0" w:before="180" w:line="400" w:lineRule="exact"/>
        <w:ind w:left="1440" w:hangingChars="600" w:hanging="1440"/>
        <w:rPr>
          <w:rFonts w:ascii="Arial" w:eastAsia="新細明體" w:hAnsi="Arial" w:cs="Arial"/>
          <w:szCs w:val="24"/>
        </w:rPr>
      </w:pPr>
    </w:p>
    <w:p w:rsidR="00857D16" w:rsidRPr="009E02B5" w:rsidRDefault="00857D16" w:rsidP="00CC3AD3">
      <w:pPr>
        <w:spacing w:before="180"/>
        <w:ind w:firstLine="480"/>
      </w:pPr>
    </w:p>
    <w:sectPr w:rsidR="00857D16" w:rsidRPr="009E02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2B5"/>
    <w:rsid w:val="00857D16"/>
    <w:rsid w:val="009E02B5"/>
    <w:rsid w:val="00CC3AD3"/>
    <w:rsid w:val="00F4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50" w:before="50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50" w:before="50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5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3.emf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image" Target="media/image18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image" Target="media/image17.emf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10" Type="http://schemas.openxmlformats.org/officeDocument/2006/relationships/image" Target="media/image5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8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___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___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___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9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/>
              <a:t>本會主管附屬單位預算</a:t>
            </a:r>
            <a:r>
              <a:rPr lang="en-US" altLang="zh-TW"/>
              <a:t>2009</a:t>
            </a:r>
            <a:r>
              <a:rPr lang="zh-TW" altLang="en-US"/>
              <a:t>及</a:t>
            </a:r>
            <a:r>
              <a:rPr lang="en-US" altLang="zh-TW"/>
              <a:t>2008</a:t>
            </a:r>
            <a:r>
              <a:rPr lang="zh-TW" altLang="en-US"/>
              <a:t>年度比較</a:t>
            </a:r>
          </a:p>
        </c:rich>
      </c:tx>
      <c:layout>
        <c:manualLayout>
          <c:xMode val="edge"/>
          <c:yMode val="edge"/>
          <c:x val="0.27802690582959644"/>
          <c:y val="4.8888888888888891E-2"/>
        </c:manualLayout>
      </c:layout>
      <c:overlay val="0"/>
      <c:spPr>
        <a:noFill/>
        <a:ln w="23844">
          <a:noFill/>
        </a:ln>
      </c:spPr>
    </c:title>
    <c:autoTitleDeleted val="0"/>
    <c:view3D>
      <c:rotX val="20"/>
      <c:hPercent val="38"/>
      <c:rotY val="44"/>
      <c:depthPercent val="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2197309417040359"/>
          <c:y val="0.31111111111111112"/>
          <c:w val="0.71973094170403584"/>
          <c:h val="0.551111111111111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2009預算</c:v>
                </c:pt>
              </c:strCache>
            </c:strRef>
          </c:tx>
          <c:spPr>
            <a:solidFill>
              <a:srgbClr val="9999FF"/>
            </a:solidFill>
            <a:ln w="1192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2698134234282464E-3"/>
                  <c:y val="-1.7861469443979108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27,237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437239244079646E-2"/>
                  <c:y val="-9.3243238212244988E-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42,761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767556816794071E-4"/>
                  <c:y val="0.10494503080731929"/>
                </c:manualLayout>
              </c:layout>
              <c:tx>
                <c:rich>
                  <a:bodyPr/>
                  <a:lstStyle/>
                  <a:p>
                    <a:r>
                      <a:rPr lang="en-US" altLang="zh-TW"/>
                      <a:t>-15,524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3844">
                <a:noFill/>
              </a:ln>
            </c:spPr>
            <c:txPr>
              <a:bodyPr/>
              <a:lstStyle/>
              <a:p>
                <a:pPr>
                  <a:defRPr sz="751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Sheet2!$A$3:$A$5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本期短絀</c:v>
                </c:pt>
              </c:strCache>
            </c:strRef>
          </c:cat>
          <c:val>
            <c:numRef>
              <c:f>Sheet2!$B$3:$B$5</c:f>
              <c:numCache>
                <c:formatCode>_-* #,##0.00000_-;\-* #,##0.00000_-;_-* "-"??_-;_-@_-</c:formatCode>
                <c:ptCount val="3"/>
                <c:pt idx="0">
                  <c:v>27237</c:v>
                </c:pt>
                <c:pt idx="1">
                  <c:v>42761</c:v>
                </c:pt>
                <c:pt idx="2">
                  <c:v>-15524</c:v>
                </c:pt>
              </c:numCache>
            </c:numRef>
          </c:val>
        </c:ser>
        <c:ser>
          <c:idx val="1"/>
          <c:order val="1"/>
          <c:tx>
            <c:strRef>
              <c:f>Sheet2!$C$2</c:f>
              <c:strCache>
                <c:ptCount val="1"/>
                <c:pt idx="0">
                  <c:v>2008預算</c:v>
                </c:pt>
              </c:strCache>
            </c:strRef>
          </c:tx>
          <c:spPr>
            <a:solidFill>
              <a:srgbClr val="993366"/>
            </a:solidFill>
            <a:ln w="1192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9.8516320107142532E-3"/>
                  <c:y val="6.2694290873215094E-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23,144 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019057831365652E-2"/>
                  <c:y val="-1.1702835017963199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38,690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3416890861167905E-6"/>
                  <c:y val="0.10954673219039113"/>
                </c:manualLayout>
              </c:layout>
              <c:tx>
                <c:rich>
                  <a:bodyPr/>
                  <a:lstStyle/>
                  <a:p>
                    <a:r>
                      <a:rPr lang="en-US" altLang="zh-TW"/>
                      <a:t>-15,546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3844">
                <a:noFill/>
              </a:ln>
            </c:spPr>
            <c:txPr>
              <a:bodyPr/>
              <a:lstStyle/>
              <a:p>
                <a:pPr>
                  <a:defRPr sz="751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Sheet2!$A$3:$A$5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本期短絀</c:v>
                </c:pt>
              </c:strCache>
            </c:strRef>
          </c:cat>
          <c:val>
            <c:numRef>
              <c:f>Sheet2!$C$3:$C$5</c:f>
              <c:numCache>
                <c:formatCode>_-* #,##0.00000_-;\-* #,##0.00000_-;_-* "-"??_-;_-@_-</c:formatCode>
                <c:ptCount val="3"/>
                <c:pt idx="0">
                  <c:v>23144</c:v>
                </c:pt>
                <c:pt idx="1">
                  <c:v>38690</c:v>
                </c:pt>
                <c:pt idx="2">
                  <c:v>-15546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gapDepth val="30"/>
        <c:shape val="box"/>
        <c:axId val="167314176"/>
        <c:axId val="167318656"/>
        <c:axId val="0"/>
      </c:bar3DChart>
      <c:catAx>
        <c:axId val="1673141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29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62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endParaRPr lang="zh-TW"/>
          </a:p>
        </c:txPr>
        <c:crossAx val="167318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318656"/>
        <c:scaling>
          <c:orientation val="minMax"/>
          <c:max val="50000"/>
          <c:min val="-20000"/>
        </c:scaling>
        <c:delete val="0"/>
        <c:axPos val="l"/>
        <c:majorGridlines>
          <c:spPr>
            <a:ln w="298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98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en-US" altLang="zh-TW"/>
                  <a:t>(</a:t>
                </a:r>
                <a:r>
                  <a:rPr lang="zh-TW" altLang="en-US"/>
                  <a:t>百萬元</a:t>
                </a:r>
                <a:r>
                  <a:rPr lang="en-US" altLang="zh-TW"/>
                  <a:t>)</a:t>
                </a:r>
              </a:p>
            </c:rich>
          </c:tx>
          <c:layout>
            <c:manualLayout>
              <c:xMode val="edge"/>
              <c:yMode val="edge"/>
              <c:x val="9.641255605381166E-2"/>
              <c:y val="0.16444444444444445"/>
            </c:manualLayout>
          </c:layout>
          <c:overlay val="0"/>
          <c:spPr>
            <a:noFill/>
            <a:ln w="23844">
              <a:noFill/>
            </a:ln>
          </c:spPr>
        </c:title>
        <c:numFmt formatCode="#,##0_ ;[Red]\-#,##0\ " sourceLinked="0"/>
        <c:majorTickMark val="in"/>
        <c:minorTickMark val="none"/>
        <c:tickLblPos val="nextTo"/>
        <c:spPr>
          <a:ln w="29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1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endParaRPr lang="zh-TW"/>
          </a:p>
        </c:txPr>
        <c:crossAx val="167314176"/>
        <c:crosses val="autoZero"/>
        <c:crossBetween val="between"/>
        <c:majorUnit val="10000"/>
        <c:minorUnit val="2000"/>
      </c:valAx>
      <c:spPr>
        <a:noFill/>
        <a:ln w="23844">
          <a:noFill/>
        </a:ln>
      </c:spPr>
    </c:plotArea>
    <c:legend>
      <c:legendPos val="r"/>
      <c:layout>
        <c:manualLayout>
          <c:xMode val="edge"/>
          <c:yMode val="edge"/>
          <c:x val="0.594170403587444"/>
          <c:y val="0.22222222222222221"/>
          <c:w val="0.39686098654708518"/>
          <c:h val="0.12444444444444444"/>
        </c:manualLayout>
      </c:layout>
      <c:overlay val="0"/>
      <c:spPr>
        <a:solidFill>
          <a:srgbClr val="FFFFFF"/>
        </a:solidFill>
        <a:ln w="2981">
          <a:solidFill>
            <a:srgbClr val="000000"/>
          </a:solidFill>
          <a:prstDash val="solid"/>
        </a:ln>
      </c:spPr>
      <c:txPr>
        <a:bodyPr/>
        <a:lstStyle/>
        <a:p>
          <a:pPr>
            <a:defRPr sz="1033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126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en-US" altLang="zh-TW"/>
              <a:t>2009</a:t>
            </a:r>
            <a:r>
              <a:rPr lang="zh-TW" altLang="en-US"/>
              <a:t>年度本會主管附屬單位預決算比較</a:t>
            </a:r>
          </a:p>
        </c:rich>
      </c:tx>
      <c:layout>
        <c:manualLayout>
          <c:xMode val="edge"/>
          <c:yMode val="edge"/>
          <c:x val="0.34061135371179041"/>
          <c:y val="3.3210332103321034E-2"/>
        </c:manualLayout>
      </c:layout>
      <c:overlay val="0"/>
      <c:spPr>
        <a:noFill/>
        <a:ln w="25400">
          <a:noFill/>
        </a:ln>
      </c:spPr>
    </c:title>
    <c:autoTitleDeleted val="0"/>
    <c:view3D>
      <c:rotX val="8"/>
      <c:hPercent val="51"/>
      <c:rotY val="14"/>
      <c:depthPercent val="6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144104803493451"/>
          <c:y val="0.16605166051660517"/>
          <c:w val="0.75982532751091703"/>
          <c:h val="0.752767527675276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Sheet3!$B$1</c:f>
              <c:strCache>
                <c:ptCount val="1"/>
                <c:pt idx="0">
                  <c:v>2009預算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2262106106963947E-3"/>
                  <c:y val="-1.7678792698482659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800" b="0" i="0" u="none" strike="noStrike" baseline="0">
                        <a:solidFill>
                          <a:srgbClr val="000000"/>
                        </a:solidFill>
                        <a:latin typeface="標楷體"/>
                        <a:ea typeface="標楷體"/>
                      </a:rPr>
                      <a:t> </a:t>
                    </a:r>
                    <a:r>
                      <a:rPr lang="en-US" altLang="zh-TW" sz="800" b="0" i="0" u="none" strike="noStrike" baseline="0">
                        <a:solidFill>
                          <a:srgbClr val="000000"/>
                        </a:solidFill>
                        <a:latin typeface="標楷體"/>
                        <a:ea typeface="標楷體"/>
                      </a:rPr>
                      <a:t>27,237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639820621459922E-3"/>
                  <c:y val="-1.2902697020917844E-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42,761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628558326972922E-3"/>
                  <c:y val="0.11022041681172828"/>
                </c:manualLayout>
              </c:layout>
              <c:tx>
                <c:rich>
                  <a:bodyPr/>
                  <a:lstStyle/>
                  <a:p>
                    <a:r>
                      <a:rPr lang="en-US" altLang="zh-TW"/>
                      <a:t>-15,524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Sheet3!$A$2:$A$4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本期短絀</c:v>
                </c:pt>
              </c:strCache>
            </c:strRef>
          </c:cat>
          <c:val>
            <c:numRef>
              <c:f>Sheet3!$B$2:$B$4</c:f>
              <c:numCache>
                <c:formatCode>_-* #,##0.00000_-;\-* #,##0.00000_-;_-* "-"??_-;_-@_-</c:formatCode>
                <c:ptCount val="3"/>
                <c:pt idx="0">
                  <c:v>27237</c:v>
                </c:pt>
                <c:pt idx="1">
                  <c:v>42761</c:v>
                </c:pt>
                <c:pt idx="2">
                  <c:v>-15524</c:v>
                </c:pt>
              </c:numCache>
            </c:numRef>
          </c:val>
        </c:ser>
        <c:ser>
          <c:idx val="1"/>
          <c:order val="1"/>
          <c:tx>
            <c:strRef>
              <c:f>Sheet3!$C$1</c:f>
              <c:strCache>
                <c:ptCount val="1"/>
                <c:pt idx="0">
                  <c:v>2009決算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625254098864104E-2"/>
                  <c:y val="1.9896206359715303E-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29,447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85279766633142E-2"/>
                  <c:y val="1.4976556972675808E-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42,245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116809802536891E-3"/>
                  <c:y val="0.1007196290585934"/>
                </c:manualLayout>
              </c:layout>
              <c:tx>
                <c:rich>
                  <a:bodyPr/>
                  <a:lstStyle/>
                  <a:p>
                    <a:r>
                      <a:rPr lang="en-US" altLang="zh-TW"/>
                      <a:t>-12,798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Sheet3!$A$2:$A$4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本期短絀</c:v>
                </c:pt>
              </c:strCache>
            </c:strRef>
          </c:cat>
          <c:val>
            <c:numRef>
              <c:f>Sheet3!$C$2:$C$4</c:f>
              <c:numCache>
                <c:formatCode>_-* #,##0.00000_-;\-* #,##0.00000_-;_-* "-"??_-;_-@_-</c:formatCode>
                <c:ptCount val="3"/>
                <c:pt idx="0">
                  <c:v>29447</c:v>
                </c:pt>
                <c:pt idx="1">
                  <c:v>42245</c:v>
                </c:pt>
                <c:pt idx="2">
                  <c:v>-12798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gapDepth val="0"/>
        <c:shape val="box"/>
        <c:axId val="182146560"/>
        <c:axId val="182466432"/>
        <c:axId val="0"/>
      </c:bar3DChart>
      <c:catAx>
        <c:axId val="18214656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endParaRPr lang="zh-TW"/>
          </a:p>
        </c:txPr>
        <c:crossAx val="182466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2466432"/>
        <c:scaling>
          <c:orientation val="minMax"/>
          <c:max val="5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25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en-US" altLang="zh-TW"/>
                  <a:t>(</a:t>
                </a:r>
                <a:r>
                  <a:rPr lang="zh-TW" altLang="en-US"/>
                  <a:t>百萬元</a:t>
                </a:r>
                <a:r>
                  <a:rPr lang="en-US" altLang="zh-TW"/>
                  <a:t>)</a:t>
                </a:r>
              </a:p>
            </c:rich>
          </c:tx>
          <c:layout>
            <c:manualLayout>
              <c:xMode val="edge"/>
              <c:yMode val="edge"/>
              <c:x val="9.606986899563319E-2"/>
              <c:y val="0.11439114391143912"/>
            </c:manualLayout>
          </c:layout>
          <c:overlay val="0"/>
          <c:spPr>
            <a:noFill/>
            <a:ln w="25400">
              <a:noFill/>
            </a:ln>
          </c:spPr>
        </c:title>
        <c:numFmt formatCode="#,##0_ ;[Red]\-#,##0\ 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endParaRPr lang="zh-TW"/>
          </a:p>
        </c:txPr>
        <c:crossAx val="182146560"/>
        <c:crosses val="autoZero"/>
        <c:crossBetween val="between"/>
        <c:majorUnit val="10000"/>
        <c:minorUnit val="2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8384279475982532"/>
          <c:y val="0.19926199261992619"/>
          <c:w val="0.21615720524017468"/>
          <c:h val="0.1808118081180811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475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45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/>
              <a:t>本會主管附屬單位預算</a:t>
            </a:r>
            <a:r>
              <a:rPr lang="en-US" altLang="zh-TW"/>
              <a:t>2010</a:t>
            </a:r>
            <a:r>
              <a:rPr lang="zh-TW" altLang="en-US"/>
              <a:t>及</a:t>
            </a:r>
            <a:r>
              <a:rPr lang="en-US" altLang="zh-TW"/>
              <a:t>2009</a:t>
            </a:r>
            <a:r>
              <a:rPr lang="zh-TW" altLang="en-US"/>
              <a:t>年度比較</a:t>
            </a:r>
          </a:p>
        </c:rich>
      </c:tx>
      <c:layout>
        <c:manualLayout>
          <c:xMode val="edge"/>
          <c:yMode val="edge"/>
          <c:x val="0.26756756756756755"/>
          <c:y val="5.1162790697674418E-2"/>
        </c:manualLayout>
      </c:layout>
      <c:overlay val="0"/>
      <c:spPr>
        <a:noFill/>
        <a:ln w="23836">
          <a:noFill/>
        </a:ln>
      </c:spPr>
    </c:title>
    <c:autoTitleDeleted val="0"/>
    <c:view3D>
      <c:rotX val="20"/>
      <c:hPercent val="50"/>
      <c:rotY val="44"/>
      <c:depthPercent val="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8918918918918918"/>
          <c:y val="0.20930232558139536"/>
          <c:w val="0.64864864864864868"/>
          <c:h val="0.693023255813953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2010預算</c:v>
                </c:pt>
              </c:strCache>
            </c:strRef>
          </c:tx>
          <c:spPr>
            <a:solidFill>
              <a:srgbClr val="9999FF"/>
            </a:solidFill>
            <a:ln w="1191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7822157009890093E-3"/>
                  <c:y val="-2.6378367820301545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25,205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445626729090827E-3"/>
                  <c:y val="-3.0938845822566998E-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40,498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988015367211864E-3"/>
                  <c:y val="0.11230121196090796"/>
                </c:manualLayout>
              </c:layout>
              <c:tx>
                <c:rich>
                  <a:bodyPr/>
                  <a:lstStyle/>
                  <a:p>
                    <a:r>
                      <a:rPr lang="en-US" altLang="zh-TW"/>
                      <a:t>-15,293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3836">
                <a:noFill/>
              </a:ln>
            </c:spPr>
            <c:txPr>
              <a:bodyPr/>
              <a:lstStyle/>
              <a:p>
                <a:pPr>
                  <a:defRPr sz="751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Sheet2!$A$3:$A$5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本期短絀</c:v>
                </c:pt>
              </c:strCache>
            </c:strRef>
          </c:cat>
          <c:val>
            <c:numRef>
              <c:f>Sheet2!$B$3:$B$5</c:f>
              <c:numCache>
                <c:formatCode>_-* #,##0.00000_-;\-* #,##0.00000_-;_-* "-"??_-;_-@_-</c:formatCode>
                <c:ptCount val="3"/>
                <c:pt idx="0">
                  <c:v>25205</c:v>
                </c:pt>
                <c:pt idx="1">
                  <c:v>40498</c:v>
                </c:pt>
                <c:pt idx="2">
                  <c:v>-15293</c:v>
                </c:pt>
              </c:numCache>
            </c:numRef>
          </c:val>
        </c:ser>
        <c:ser>
          <c:idx val="1"/>
          <c:order val="1"/>
          <c:tx>
            <c:strRef>
              <c:f>Sheet2!$C$2</c:f>
              <c:strCache>
                <c:ptCount val="1"/>
                <c:pt idx="0">
                  <c:v>2009預算</c:v>
                </c:pt>
              </c:strCache>
            </c:strRef>
          </c:tx>
          <c:spPr>
            <a:solidFill>
              <a:srgbClr val="993366"/>
            </a:solidFill>
            <a:ln w="1191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548989519979991E-2"/>
                  <c:y val="-1.1542555630158645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27,237 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211336491900063E-2"/>
                  <c:y val="-9.8270971942460792E-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 </a:t>
                    </a:r>
                    <a:r>
                      <a:rPr lang="en-US" altLang="zh-TW"/>
                      <a:t>42,761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6574672476040313E-3"/>
                  <c:y val="0.11398800111226404"/>
                </c:manualLayout>
              </c:layout>
              <c:tx>
                <c:rich>
                  <a:bodyPr/>
                  <a:lstStyle/>
                  <a:p>
                    <a:r>
                      <a:rPr lang="en-US" altLang="zh-TW"/>
                      <a:t>-15,524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3836">
                <a:noFill/>
              </a:ln>
            </c:spPr>
            <c:txPr>
              <a:bodyPr/>
              <a:lstStyle/>
              <a:p>
                <a:pPr>
                  <a:defRPr sz="751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Sheet2!$A$3:$A$5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本期短絀</c:v>
                </c:pt>
              </c:strCache>
            </c:strRef>
          </c:cat>
          <c:val>
            <c:numRef>
              <c:f>Sheet2!$C$3:$C$5</c:f>
              <c:numCache>
                <c:formatCode>_-* #,##0.00000_-;\-* #,##0.00000_-;_-* "-"??_-;_-@_-</c:formatCode>
                <c:ptCount val="3"/>
                <c:pt idx="0">
                  <c:v>27237</c:v>
                </c:pt>
                <c:pt idx="1">
                  <c:v>42761</c:v>
                </c:pt>
                <c:pt idx="2">
                  <c:v>-15524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gapDepth val="30"/>
        <c:shape val="box"/>
        <c:axId val="175853568"/>
        <c:axId val="175855104"/>
        <c:axId val="0"/>
      </c:bar3DChart>
      <c:catAx>
        <c:axId val="17585356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29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endParaRPr lang="zh-TW"/>
          </a:p>
        </c:txPr>
        <c:crossAx val="175855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855104"/>
        <c:scaling>
          <c:orientation val="minMax"/>
          <c:max val="50000"/>
        </c:scaling>
        <c:delete val="0"/>
        <c:axPos val="l"/>
        <c:majorGridlines>
          <c:spPr>
            <a:ln w="297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51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en-US" altLang="zh-TW"/>
                  <a:t>(</a:t>
                </a:r>
                <a:r>
                  <a:rPr lang="zh-TW" altLang="en-US"/>
                  <a:t>百萬元</a:t>
                </a:r>
                <a:r>
                  <a:rPr lang="en-US" altLang="zh-TW"/>
                  <a:t>)</a:t>
                </a:r>
              </a:p>
            </c:rich>
          </c:tx>
          <c:layout>
            <c:manualLayout>
              <c:xMode val="edge"/>
              <c:yMode val="edge"/>
              <c:x val="9.45945945945946E-2"/>
              <c:y val="0.13488372093023257"/>
            </c:manualLayout>
          </c:layout>
          <c:overlay val="0"/>
          <c:spPr>
            <a:noFill/>
            <a:ln w="23836">
              <a:noFill/>
            </a:ln>
          </c:spPr>
        </c:title>
        <c:numFmt formatCode="#,##0_ " sourceLinked="0"/>
        <c:majorTickMark val="in"/>
        <c:minorTickMark val="none"/>
        <c:tickLblPos val="nextTo"/>
        <c:spPr>
          <a:ln w="29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1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endParaRPr lang="zh-TW"/>
          </a:p>
        </c:txPr>
        <c:crossAx val="175853568"/>
        <c:crosses val="autoZero"/>
        <c:crossBetween val="between"/>
        <c:majorUnit val="10000"/>
        <c:minorUnit val="2000"/>
      </c:valAx>
      <c:spPr>
        <a:noFill/>
        <a:ln w="23836">
          <a:noFill/>
        </a:ln>
      </c:spPr>
    </c:plotArea>
    <c:legend>
      <c:legendPos val="r"/>
      <c:layout>
        <c:manualLayout>
          <c:xMode val="edge"/>
          <c:yMode val="edge"/>
          <c:x val="0.65675675675675671"/>
          <c:y val="0.23255813953488372"/>
          <c:w val="0.33783783783783783"/>
          <c:h val="0.18604651162790697"/>
        </c:manualLayout>
      </c:layout>
      <c:overlay val="0"/>
      <c:spPr>
        <a:solidFill>
          <a:srgbClr val="FFFFFF"/>
        </a:solidFill>
        <a:ln w="2979">
          <a:solidFill>
            <a:srgbClr val="000000"/>
          </a:solidFill>
          <a:prstDash val="solid"/>
        </a:ln>
      </c:spPr>
      <c:txPr>
        <a:bodyPr/>
        <a:lstStyle/>
        <a:p>
          <a:pPr>
            <a:defRPr sz="1032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126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0.0895</cdr:x>
      <cdr:y>0.031</cdr:y>
    </cdr:from>
    <cdr:to>
      <cdr:x>0.17125</cdr:x>
      <cdr:y>0.19075</cdr:y>
    </cdr:to>
    <cdr:sp macro="" textlink="">
      <cdr:nvSpPr>
        <cdr:cNvPr id="307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0209" y="66437"/>
          <a:ext cx="347287" cy="34236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925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圖</a:t>
          </a:r>
          <a:r>
            <a:rPr lang="en-US" altLang="zh-TW" sz="925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5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0.105</cdr:x>
      <cdr:y>0.0315</cdr:y>
    </cdr:from>
    <cdr:to>
      <cdr:x>0.22725</cdr:x>
      <cdr:y>0.1495</cdr:y>
    </cdr:to>
    <cdr:sp macro="" textlink="">
      <cdr:nvSpPr>
        <cdr:cNvPr id="307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8057" y="81310"/>
          <a:ext cx="533310" cy="30459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975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圖</a:t>
          </a:r>
          <a:r>
            <a:rPr lang="en-US" altLang="zh-TW" sz="975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8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0.08975</cdr:x>
      <cdr:y>0.018</cdr:y>
    </cdr:from>
    <cdr:to>
      <cdr:x>0.171</cdr:x>
      <cdr:y>0.1225</cdr:y>
    </cdr:to>
    <cdr:sp macro="" textlink="">
      <cdr:nvSpPr>
        <cdr:cNvPr id="307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6301" y="36862"/>
          <a:ext cx="286346" cy="21400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775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圖</a:t>
          </a:r>
          <a:r>
            <a:rPr lang="en-US" altLang="zh-TW" sz="775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13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C7EDCC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C7EDCC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C7EDCC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1619</Words>
  <Characters>9229</Characters>
  <Application>Microsoft Office Word</Application>
  <DocSecurity>0</DocSecurity>
  <Lines>76</Lines>
  <Paragraphs>21</Paragraphs>
  <ScaleCrop>false</ScaleCrop>
  <Company>NONE</Company>
  <LinksUpToDate>false</LinksUpToDate>
  <CharactersWithSpaces>10827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2014-12-19T09:55:00Z</dcterms:created>
  <dcterms:modified xsi:type="dcterms:W3CDTF">2014-12-19T10:03:00Z</dcterms:modified>
</cp:coreProperties>
</file>